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905" w:rsidRDefault="00EE4905" w:rsidP="00EE4905">
      <w:pPr>
        <w:jc w:val="center"/>
        <w:rPr>
          <w:rFonts w:ascii="Cambria" w:hAnsi="Cambria"/>
        </w:rPr>
      </w:pPr>
      <w:r>
        <w:rPr>
          <w:rFonts w:ascii="Cambria" w:hAnsi="Cambria"/>
          <w:noProof/>
          <w:lang w:val="it-IT" w:eastAsia="it-IT"/>
        </w:rPr>
        <w:drawing>
          <wp:inline distT="0" distB="0" distL="0" distR="0">
            <wp:extent cx="1743075" cy="2047875"/>
            <wp:effectExtent l="0" t="0" r="9525" b="9525"/>
            <wp:docPr id="1" name="Immagine 1" descr="pinarolo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pinarolop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075" cy="2047875"/>
                    </a:xfrm>
                    <a:prstGeom prst="rect">
                      <a:avLst/>
                    </a:prstGeom>
                    <a:noFill/>
                    <a:ln>
                      <a:noFill/>
                    </a:ln>
                  </pic:spPr>
                </pic:pic>
              </a:graphicData>
            </a:graphic>
          </wp:inline>
        </w:drawing>
      </w:r>
    </w:p>
    <w:p w:rsidR="00EE4905" w:rsidRDefault="00EE4905" w:rsidP="00EE4905">
      <w:pPr>
        <w:pStyle w:val="Nessunaspaziatura"/>
        <w:jc w:val="center"/>
        <w:rPr>
          <w:rFonts w:ascii="Cambria" w:hAnsi="Cambria"/>
          <w:b/>
          <w:w w:val="84"/>
          <w:sz w:val="40"/>
          <w:szCs w:val="40"/>
          <w:lang w:val="it-IT"/>
        </w:rPr>
      </w:pPr>
      <w:r>
        <w:rPr>
          <w:rFonts w:ascii="Cambria" w:hAnsi="Cambria"/>
          <w:b/>
          <w:w w:val="84"/>
          <w:sz w:val="40"/>
          <w:szCs w:val="40"/>
          <w:lang w:val="it-IT"/>
        </w:rPr>
        <w:t>Comune di Pinarolo Po</w:t>
      </w:r>
    </w:p>
    <w:p w:rsidR="00813D77" w:rsidRDefault="00813D77" w:rsidP="00CA2381">
      <w:pPr>
        <w:pStyle w:val="Nessunaspaziatura"/>
        <w:jc w:val="center"/>
        <w:rPr>
          <w:rFonts w:ascii="Cambria" w:hAnsi="Cambria"/>
          <w:b/>
          <w:color w:val="C00000"/>
          <w:w w:val="84"/>
          <w:sz w:val="40"/>
          <w:szCs w:val="40"/>
          <w:lang w:val="it-IT"/>
        </w:rPr>
      </w:pPr>
      <w:bookmarkStart w:id="0" w:name="_GoBack"/>
      <w:bookmarkEnd w:id="0"/>
    </w:p>
    <w:p w:rsidR="00CA2381" w:rsidRPr="00582444" w:rsidRDefault="00CA2381" w:rsidP="00CA2381">
      <w:pPr>
        <w:pStyle w:val="Nessunaspaziatura"/>
        <w:jc w:val="center"/>
        <w:rPr>
          <w:rFonts w:ascii="Cambria" w:hAnsi="Cambria"/>
          <w:b/>
          <w:color w:val="C00000"/>
          <w:w w:val="84"/>
          <w:sz w:val="40"/>
          <w:szCs w:val="40"/>
          <w:lang w:val="it-IT"/>
        </w:rPr>
      </w:pPr>
      <w:r w:rsidRPr="00582444">
        <w:rPr>
          <w:rFonts w:ascii="Cambria" w:hAnsi="Cambria"/>
          <w:b/>
          <w:color w:val="C00000"/>
          <w:w w:val="84"/>
          <w:sz w:val="40"/>
          <w:szCs w:val="40"/>
          <w:lang w:val="it-IT"/>
        </w:rPr>
        <w:t>Piano triennale di prevenzione della corruzione</w:t>
      </w:r>
    </w:p>
    <w:p w:rsidR="00CA2381" w:rsidRPr="00582444" w:rsidRDefault="00CA2381" w:rsidP="00CA2381">
      <w:pPr>
        <w:pStyle w:val="Nessunaspaziatura"/>
        <w:jc w:val="center"/>
        <w:rPr>
          <w:rFonts w:ascii="Cambria" w:hAnsi="Cambria"/>
          <w:b/>
          <w:color w:val="C00000"/>
          <w:w w:val="84"/>
          <w:sz w:val="40"/>
          <w:szCs w:val="40"/>
          <w:lang w:val="it-IT"/>
        </w:rPr>
      </w:pPr>
      <w:r w:rsidRPr="00582444">
        <w:rPr>
          <w:rFonts w:ascii="Cambria" w:hAnsi="Cambria"/>
          <w:b/>
          <w:color w:val="C00000"/>
          <w:w w:val="84"/>
          <w:sz w:val="40"/>
          <w:szCs w:val="40"/>
          <w:lang w:val="it-IT"/>
        </w:rPr>
        <w:t>2014 - 2016</w:t>
      </w:r>
    </w:p>
    <w:p w:rsidR="00CA2381" w:rsidRPr="00582444" w:rsidRDefault="00910810" w:rsidP="00CA2381">
      <w:pPr>
        <w:tabs>
          <w:tab w:val="left" w:pos="426"/>
        </w:tabs>
        <w:jc w:val="center"/>
        <w:rPr>
          <w:color w:val="C00000"/>
          <w:lang w:val="it-IT"/>
        </w:rPr>
      </w:pPr>
      <w:r w:rsidRPr="00582444">
        <w:rPr>
          <w:color w:val="C00000"/>
          <w:lang w:val="it-IT"/>
        </w:rPr>
        <w:t xml:space="preserve"> </w:t>
      </w:r>
    </w:p>
    <w:p w:rsidR="00946F98" w:rsidRPr="00582444" w:rsidRDefault="003F523D" w:rsidP="003F523D">
      <w:pPr>
        <w:pStyle w:val="Nessunaspaziatura"/>
        <w:jc w:val="center"/>
        <w:rPr>
          <w:rFonts w:ascii="Cambria" w:hAnsi="Cambria"/>
          <w:b/>
          <w:color w:val="C00000"/>
          <w:w w:val="84"/>
          <w:sz w:val="40"/>
          <w:szCs w:val="40"/>
          <w:lang w:val="it-IT"/>
        </w:rPr>
      </w:pPr>
      <w:r w:rsidRPr="00582444">
        <w:rPr>
          <w:rFonts w:ascii="Cambria" w:hAnsi="Cambria"/>
          <w:b/>
          <w:color w:val="C00000"/>
          <w:w w:val="84"/>
          <w:sz w:val="40"/>
          <w:szCs w:val="40"/>
          <w:lang w:val="it-IT"/>
        </w:rPr>
        <w:t xml:space="preserve">Allegato </w:t>
      </w:r>
      <w:r w:rsidR="001E1933">
        <w:rPr>
          <w:rFonts w:ascii="Cambria" w:hAnsi="Cambria"/>
          <w:b/>
          <w:color w:val="C00000"/>
          <w:w w:val="84"/>
          <w:sz w:val="40"/>
          <w:szCs w:val="40"/>
          <w:lang w:val="it-IT"/>
        </w:rPr>
        <w:t>7</w:t>
      </w:r>
    </w:p>
    <w:p w:rsidR="003F523D" w:rsidRPr="00582444" w:rsidRDefault="003F523D" w:rsidP="003F523D">
      <w:pPr>
        <w:pStyle w:val="Nessunaspaziatura"/>
        <w:jc w:val="center"/>
        <w:rPr>
          <w:rFonts w:ascii="Cambria" w:hAnsi="Cambria"/>
          <w:b/>
          <w:color w:val="C00000"/>
          <w:w w:val="84"/>
          <w:sz w:val="40"/>
          <w:szCs w:val="40"/>
          <w:lang w:val="it-IT"/>
        </w:rPr>
      </w:pPr>
    </w:p>
    <w:p w:rsidR="001E1933" w:rsidRDefault="001E1933" w:rsidP="003F523D">
      <w:pPr>
        <w:pStyle w:val="Nessunaspaziatura"/>
        <w:jc w:val="center"/>
        <w:rPr>
          <w:rFonts w:ascii="Cambria" w:hAnsi="Cambria"/>
          <w:b/>
          <w:color w:val="C00000"/>
          <w:w w:val="84"/>
          <w:sz w:val="40"/>
          <w:szCs w:val="40"/>
          <w:lang w:val="it-IT"/>
        </w:rPr>
      </w:pPr>
      <w:r>
        <w:rPr>
          <w:rFonts w:ascii="Cambria" w:hAnsi="Cambria"/>
          <w:b/>
          <w:color w:val="C00000"/>
          <w:w w:val="84"/>
          <w:sz w:val="40"/>
          <w:szCs w:val="40"/>
          <w:lang w:val="it-IT"/>
        </w:rPr>
        <w:t>Trasparenza</w:t>
      </w:r>
    </w:p>
    <w:p w:rsidR="00317645" w:rsidRPr="00582444" w:rsidRDefault="001E1933" w:rsidP="003F523D">
      <w:pPr>
        <w:pStyle w:val="Nessunaspaziatura"/>
        <w:jc w:val="center"/>
        <w:rPr>
          <w:rFonts w:ascii="Cambria" w:hAnsi="Cambria"/>
          <w:b/>
          <w:color w:val="C00000"/>
          <w:w w:val="84"/>
          <w:sz w:val="40"/>
          <w:szCs w:val="40"/>
          <w:lang w:val="it-IT"/>
        </w:rPr>
      </w:pPr>
      <w:r>
        <w:rPr>
          <w:rFonts w:ascii="Cambria" w:hAnsi="Cambria"/>
          <w:b/>
          <w:color w:val="C00000"/>
          <w:w w:val="84"/>
          <w:sz w:val="40"/>
          <w:szCs w:val="40"/>
          <w:lang w:val="it-IT"/>
        </w:rPr>
        <w:t>Elenco obblighi pubblicazione e relativi responsabili</w:t>
      </w:r>
    </w:p>
    <w:p w:rsidR="001E1933" w:rsidRDefault="001E1933">
      <w:pPr>
        <w:rPr>
          <w:rFonts w:ascii="Cambria" w:hAnsi="Cambria"/>
          <w:b/>
          <w:color w:val="C00000"/>
          <w:w w:val="84"/>
          <w:sz w:val="40"/>
          <w:szCs w:val="40"/>
          <w:lang w:val="it-IT"/>
        </w:rPr>
        <w:sectPr w:rsidR="001E1933" w:rsidSect="00582444">
          <w:headerReference w:type="default" r:id="rId9"/>
          <w:headerReference w:type="first" r:id="rId10"/>
          <w:pgSz w:w="11904" w:h="16843" w:code="9"/>
          <w:pgMar w:top="1134" w:right="1701" w:bottom="851" w:left="1701" w:header="720" w:footer="720" w:gutter="0"/>
          <w:pgBorders w:offsetFrom="page">
            <w:top w:val="single" w:sz="2" w:space="24" w:color="C00000"/>
            <w:left w:val="single" w:sz="2" w:space="24" w:color="C00000"/>
            <w:bottom w:val="single" w:sz="2" w:space="24" w:color="C00000"/>
            <w:right w:val="single" w:sz="2" w:space="24" w:color="C00000"/>
          </w:pgBorders>
          <w:cols w:space="720"/>
          <w:titlePg/>
        </w:sectPr>
      </w:pPr>
    </w:p>
    <w:tbl>
      <w:tblPr>
        <w:tblStyle w:val="Stile1"/>
        <w:tblW w:w="15601" w:type="dxa"/>
        <w:tblInd w:w="-434" w:type="dxa"/>
        <w:tblLook w:val="04A0" w:firstRow="1" w:lastRow="0" w:firstColumn="1" w:lastColumn="0" w:noHBand="0" w:noVBand="1"/>
      </w:tblPr>
      <w:tblGrid>
        <w:gridCol w:w="1964"/>
        <w:gridCol w:w="1947"/>
        <w:gridCol w:w="1546"/>
        <w:gridCol w:w="1229"/>
        <w:gridCol w:w="2050"/>
        <w:gridCol w:w="3552"/>
        <w:gridCol w:w="1592"/>
        <w:gridCol w:w="1721"/>
      </w:tblGrid>
      <w:tr w:rsidR="00B524F5" w:rsidRPr="001E1933" w:rsidTr="00B524F5">
        <w:trPr>
          <w:cnfStyle w:val="100000000000" w:firstRow="1" w:lastRow="0" w:firstColumn="0" w:lastColumn="0" w:oddVBand="0" w:evenVBand="0" w:oddHBand="0" w:evenHBand="0" w:firstRowFirstColumn="0" w:firstRowLastColumn="0" w:lastRowFirstColumn="0" w:lastRowLastColumn="0"/>
          <w:tblHeader/>
        </w:trPr>
        <w:tc>
          <w:tcPr>
            <w:tcW w:w="15521" w:type="dxa"/>
            <w:gridSpan w:val="8"/>
            <w:shd w:val="clear" w:color="auto" w:fill="DEEAF6" w:themeFill="accent1" w:themeFillTint="33"/>
            <w:hideMark/>
          </w:tcPr>
          <w:p w:rsidR="00B524F5" w:rsidRPr="00B524F5" w:rsidRDefault="00B524F5" w:rsidP="00B524F5">
            <w:pPr>
              <w:jc w:val="center"/>
              <w:rPr>
                <w:rFonts w:ascii="Cambria" w:eastAsia="Times New Roman" w:hAnsi="Cambria"/>
                <w:b/>
                <w:bCs/>
                <w:color w:val="000000"/>
                <w:w w:val="84"/>
                <w:sz w:val="24"/>
                <w:szCs w:val="24"/>
                <w:lang w:val="it-IT" w:eastAsia="it-IT"/>
              </w:rPr>
            </w:pPr>
            <w:r w:rsidRPr="001E1933">
              <w:rPr>
                <w:rFonts w:ascii="Cambria" w:eastAsia="Times New Roman" w:hAnsi="Cambria"/>
                <w:b/>
                <w:bCs/>
                <w:color w:val="000000"/>
                <w:w w:val="84"/>
                <w:sz w:val="24"/>
                <w:szCs w:val="24"/>
                <w:lang w:val="it-IT" w:eastAsia="it-IT"/>
              </w:rPr>
              <w:lastRenderedPageBreak/>
              <w:t>SEZIONE "AMMINISTRAZIONE TRASPARENTE" - ELENCO DEGLI OBBLIGHI DI PUBBLICAZIONE</w:t>
            </w:r>
            <w:r>
              <w:rPr>
                <w:rFonts w:ascii="Cambria" w:eastAsia="Times New Roman" w:hAnsi="Cambria"/>
                <w:b/>
                <w:bCs/>
                <w:color w:val="000000"/>
                <w:w w:val="84"/>
                <w:sz w:val="24"/>
                <w:szCs w:val="24"/>
                <w:lang w:val="it-IT" w:eastAsia="it-IT"/>
              </w:rPr>
              <w:t xml:space="preserve"> VIGENTI</w:t>
            </w:r>
            <w:r w:rsidRPr="001E1933">
              <w:rPr>
                <w:rFonts w:ascii="Cambria" w:eastAsia="Times New Roman" w:hAnsi="Cambria"/>
                <w:b/>
                <w:bCs/>
                <w:color w:val="000000"/>
                <w:w w:val="84"/>
                <w:sz w:val="24"/>
                <w:szCs w:val="24"/>
                <w:lang w:val="it-IT" w:eastAsia="it-IT"/>
              </w:rPr>
              <w:t xml:space="preserve"> </w:t>
            </w:r>
          </w:p>
        </w:tc>
      </w:tr>
      <w:tr w:rsidR="001E1933" w:rsidRPr="001E1933" w:rsidTr="00B524F5">
        <w:trPr>
          <w:cnfStyle w:val="100000000000" w:firstRow="1" w:lastRow="0" w:firstColumn="0" w:lastColumn="0" w:oddVBand="0" w:evenVBand="0" w:oddHBand="0" w:evenHBand="0" w:firstRowFirstColumn="0" w:firstRowLastColumn="0" w:lastRowFirstColumn="0" w:lastRowLastColumn="0"/>
          <w:tblHeader/>
        </w:trPr>
        <w:tc>
          <w:tcPr>
            <w:tcW w:w="0" w:type="auto"/>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Denominazione sotto-sezione livello 1 (Macrofamiglie)</w:t>
            </w:r>
          </w:p>
        </w:tc>
        <w:tc>
          <w:tcPr>
            <w:tcW w:w="0" w:type="auto"/>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Denominazione sotto-sezione 2 livello (Tipologie di dati)</w:t>
            </w:r>
          </w:p>
        </w:tc>
        <w:tc>
          <w:tcPr>
            <w:tcW w:w="0" w:type="auto"/>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Ambito soggettivo (vedi foglio 2)</w:t>
            </w:r>
          </w:p>
        </w:tc>
        <w:tc>
          <w:tcPr>
            <w:tcW w:w="0" w:type="auto"/>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Riferimento normativo</w:t>
            </w:r>
          </w:p>
        </w:tc>
        <w:tc>
          <w:tcPr>
            <w:tcW w:w="2010" w:type="dxa"/>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Denominazione del singolo obbligo</w:t>
            </w:r>
          </w:p>
        </w:tc>
        <w:tc>
          <w:tcPr>
            <w:tcW w:w="3512" w:type="dxa"/>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Contenuti dell'obbligo</w:t>
            </w:r>
          </w:p>
        </w:tc>
        <w:tc>
          <w:tcPr>
            <w:tcW w:w="0" w:type="auto"/>
            <w:shd w:val="clear" w:color="auto" w:fill="FFF2CC" w:themeFill="accent4"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Aggiornamento</w:t>
            </w:r>
          </w:p>
        </w:tc>
        <w:tc>
          <w:tcPr>
            <w:tcW w:w="1631" w:type="dxa"/>
            <w:shd w:val="clear" w:color="auto" w:fill="E2EFD9" w:themeFill="accent6" w:themeFillTint="33"/>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Responsabile competente</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Disposizioni generali</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Programma per la Trasparenza e l'Integrità</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10, c. 8, lett. a),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Programma per la Trasparenza e l'Integrità</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Programma triennale per la trasparenza e l'integrità e relativo stato di attuazione (art. 10, cc. 1, 2, 3, d.lgs. </w:t>
            </w:r>
            <w:r w:rsidRPr="001E1933">
              <w:rPr>
                <w:rFonts w:ascii="Cambria" w:eastAsia="Times New Roman" w:hAnsi="Cambria"/>
                <w:w w:val="84"/>
                <w:sz w:val="18"/>
                <w:szCs w:val="18"/>
                <w:lang w:val="it-IT" w:eastAsia="it-IT"/>
              </w:rPr>
              <w:t>33</w:t>
            </w:r>
            <w:r w:rsidRPr="001E1933">
              <w:rPr>
                <w:rFonts w:ascii="Cambria" w:eastAsia="Times New Roman" w:hAnsi="Cambria"/>
                <w:color w:val="000000"/>
                <w:w w:val="84"/>
                <w:sz w:val="18"/>
                <w:szCs w:val="18"/>
                <w:lang w:val="it-IT" w:eastAsia="it-IT"/>
              </w:rPr>
              <w:t>/2013)</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10,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Attestazioni OIV o struttura analoga</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U</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4, lett. g), d.lgs. n.  150/2009</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Attestazioni OIV o struttura analoga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Attestazione dell'OIV o di altra struttura analoga nell'assolvimento degli obblighi di pubblicazione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 e in relazione a delibere CiVIT</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generali</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12,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Riferimenti normativi su organizzazione e attività</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Riferimenti normativi con i relativi link alle norme di legge statale pubblicate nella banca dati "Normattiva" che regolano l'istituzione, l'organizzazione e l'attività delle pubbliche amministrazioni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Atti amministrativi generali </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Direttive, circolari, programmi, istruzioni e ogni atto che dispone in generale sulla organizzazione, sulle funzioni, sugli obiettivi, sui procedimenti, ovvero nei quali si determina l'interpretazione di norme giuridiche che riguardano o dettano disposizioni per l'applicazione di esse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D</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12,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Statuti e leggi regionali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e testi ufficiali aggiornati degli Statuti e delle norme di legge regionali, che regolano le funzioni, l'organizzazione e lo svolgimento delle attività di competenza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Art. 55, c. 2, d.lgs. n. 165/2001 </w:t>
            </w:r>
            <w:r w:rsidRPr="001E1933">
              <w:rPr>
                <w:rFonts w:ascii="Cambria" w:eastAsia="Times New Roman" w:hAnsi="Cambria"/>
                <w:w w:val="84"/>
                <w:sz w:val="18"/>
                <w:szCs w:val="18"/>
                <w:lang w:val="it-IT" w:eastAsia="it-IT"/>
              </w:rPr>
              <w:br/>
              <w:t>Art. 12, c. 1, d.lgs. n. 33/2013</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Codice disciplinare e codice di condotta</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Codice disciplinare, recante l'indicazione delle  infrazioni del codice disciplinare e relative sanzioni (pubblicazione on line in alternativa all'affissione in luogo accessibile a tutti - art. 7, l. n. 300/1970)</w:t>
            </w:r>
            <w:r w:rsidRPr="001E1933">
              <w:rPr>
                <w:rFonts w:ascii="Cambria" w:eastAsia="Times New Roman" w:hAnsi="Cambria"/>
                <w:w w:val="84"/>
                <w:sz w:val="18"/>
                <w:szCs w:val="18"/>
                <w:lang w:val="it-IT" w:eastAsia="it-IT"/>
              </w:rPr>
              <w:br/>
              <w:t>Codice di condotta inteso quale codice di comportamento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Oneri informativi per cittadini e imprese</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N</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34,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Oneri informativi per cittadini e imprese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Regolamenti ministeriali o interministeriali, provvedimenti amministrativi a carattere generale adottati dalle amministrazioni dello Stato per regolare l'esercizio di poteri autorizzatori, </w:t>
            </w:r>
            <w:r w:rsidRPr="001E1933">
              <w:rPr>
                <w:rFonts w:ascii="Cambria" w:eastAsia="Times New Roman" w:hAnsi="Cambria"/>
                <w:color w:val="000000"/>
                <w:w w:val="84"/>
                <w:sz w:val="18"/>
                <w:szCs w:val="18"/>
                <w:lang w:val="it-IT" w:eastAsia="it-IT"/>
              </w:rPr>
              <w:lastRenderedPageBreak/>
              <w:t>concessori o certificatori, nonchè l'accesso ai servizi pubblici ovvero la concessione di benefici con allegato elenco di tutti gli oneri informativi gravanti sui cittadini e sulle imprese introdotti o eliminati con i medesimi atti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lastRenderedPageBreak/>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Art. 12, c. 1-bis, d.lgs. n. 33/2013 </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Scadenzario obblighi amministrativi</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Scadenzario con l'indicazione delle date di efficacia dei nuovi obblighi amministrativi a carico di cittadini e imprese introdotti dalle amministrazioni (secondo le modalità determinate con uno o più D.P.C.M. da adottare entro 90 gg. dall'entrata in vigore del d.l. n. 69/2013)</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Burocrazia zero</w:t>
            </w:r>
          </w:p>
        </w:tc>
        <w:tc>
          <w:tcPr>
            <w:tcW w:w="0" w:type="auto"/>
            <w:noWrap/>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S</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Art. 37, c. 3, d.l. n. 69/2013 </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Burocrazia zero</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Casi in cui il rilascio delle autorizzazioni di competenza è sostituito da una comunicazione dell'interessato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V</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Art. 37, c. 3-bis, d.l. n. 69/2013 </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Attività soggette a controllo</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Elenco delle attività delle imprese soggette a controllo (ovvero per le quali le pubbliche amministrazioni competenti ritengono necessarie l'autorizzazione, la segnalazione certificata di inizio attività o la mera comunicazione)</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Organizzazione</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Organi di indirizzo politico-amministrativo</w:t>
            </w:r>
            <w:r w:rsidRPr="001E1933">
              <w:rPr>
                <w:rFonts w:ascii="Cambria" w:eastAsia="Times New Roman" w:hAnsi="Cambria"/>
                <w:color w:val="000000"/>
                <w:w w:val="84"/>
                <w:sz w:val="18"/>
                <w:szCs w:val="18"/>
                <w:lang w:val="it-IT" w:eastAsia="it-IT"/>
              </w:rPr>
              <w:br/>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13, c. 1, lett. a), d.lgs. n. 33/2013</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Organi di indirizzo politico-amministrativo</w:t>
            </w:r>
            <w:r>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Organi di indirizzo politico e di amministrazione e gestione, con l'indicazione delle rispettive competenze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T</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1, lett. a),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Atto di nomina o di proclamazione, con l'indicazione della durata dell'incarico o del mandato elettivo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1, lett. b),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Curricula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1, lett. c),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Compensi di qualsiasi natura connessi all'assunzione della carica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Importi di viaggi di servizio e missioni pagati con fondi pubblici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1, lett. d),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relativi all'assunzione di altre cariche, presso enti pubblici o privati, e relativi compensi a qualsiasi titolo corrisposti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1, lett. e),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B524F5" w:rsidP="00B524F5">
            <w:pPr>
              <w:rPr>
                <w:rFonts w:ascii="Cambria" w:eastAsia="Times New Roman" w:hAnsi="Cambria"/>
                <w:color w:val="000000"/>
                <w:w w:val="84"/>
                <w:sz w:val="18"/>
                <w:szCs w:val="18"/>
                <w:lang w:val="it-IT" w:eastAsia="it-IT"/>
              </w:rPr>
            </w:pPr>
            <w:r>
              <w:rPr>
                <w:rFonts w:ascii="Cambria" w:eastAsia="Times New Roman" w:hAnsi="Cambria"/>
                <w:color w:val="000000"/>
                <w:w w:val="84"/>
                <w:sz w:val="18"/>
                <w:szCs w:val="18"/>
                <w:lang w:val="it-IT" w:eastAsia="it-IT"/>
              </w:rPr>
              <w:t xml:space="preserve">Altri eventuali incarichi con </w:t>
            </w:r>
            <w:r w:rsidR="001E1933" w:rsidRPr="001E1933">
              <w:rPr>
                <w:rFonts w:ascii="Cambria" w:eastAsia="Times New Roman" w:hAnsi="Cambria"/>
                <w:color w:val="000000"/>
                <w:w w:val="84"/>
                <w:sz w:val="18"/>
                <w:szCs w:val="18"/>
                <w:lang w:val="it-IT" w:eastAsia="it-IT"/>
              </w:rPr>
              <w:t>oneri a carico della finanza pubblica e indicazione dei compensi spettanti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14, c. 1, lett. f), d.lgs. n. 33/2013</w:t>
            </w:r>
            <w:r w:rsidRPr="001E1933">
              <w:rPr>
                <w:rFonts w:ascii="Cambria" w:eastAsia="Times New Roman" w:hAnsi="Cambria"/>
                <w:color w:val="000000"/>
                <w:w w:val="84"/>
                <w:sz w:val="18"/>
                <w:szCs w:val="18"/>
                <w:lang w:val="it-IT" w:eastAsia="it-IT"/>
              </w:rPr>
              <w:br/>
              <w:t>Art. 1, c. 1, n. 5, l. n. 441/1982</w:t>
            </w:r>
            <w:r w:rsidRPr="001E1933">
              <w:rPr>
                <w:rFonts w:ascii="Cambria" w:eastAsia="Times New Roman" w:hAnsi="Cambria"/>
                <w:color w:val="000000"/>
                <w:w w:val="84"/>
                <w:sz w:val="18"/>
                <w:szCs w:val="18"/>
                <w:lang w:val="it-IT" w:eastAsia="it-IT"/>
              </w:rPr>
              <w:br/>
              <w:t>Art. 47, c. 1,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dichiarazione concernente diritti reali su beni immobili e su beni mobili iscritti in pubblici registri, titolarità di imprese, azioni di società, quote di partecipazione a società, esercizio di 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  (obbligo non previsto per i comuni con popolazione inferiore ai 15000 abitanti)</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2)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(obbligo non previsto per i comuni con popolazione inferiore ai 15000 abitanti)</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(obbligo non previsto per i comuni con popolazione inferiore ai 15000 abitanti)</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 (obbligo non previsto per i comuni con popolazione inferiore ai 15000 abitanti)</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dichiarazione concernente le variazioni della situazione patrimoniale intervenute dopo l'ultima attestazione (con copia della dichiarazione annuale relativa ai redditi delle persone fisiche) [Per il soggetto, il coniuge non separato e i parenti entro il secondo grado, ove gli stessi vi consentano (NB: dando eventualmente evidenza del mancato consenso)] (obbligo non previsto per i comuni con popolazione inferiore ai 15000 abitanti)</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Sanzioni per mancata comunicazione dei dati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T</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47,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Sanzioni per mancata comunicazione dei dati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Provvedimenti di erogazione delle sanzioni amministrative pecuniarie a carico del responsabile della mancata comunicazione per la </w:t>
            </w:r>
            <w:r w:rsidRPr="001E1933">
              <w:rPr>
                <w:rFonts w:ascii="Cambria" w:eastAsia="Times New Roman" w:hAnsi="Cambria"/>
                <w:color w:val="000000"/>
                <w:w w:val="84"/>
                <w:sz w:val="18"/>
                <w:szCs w:val="18"/>
                <w:lang w:val="it-IT" w:eastAsia="it-IT"/>
              </w:rPr>
              <w:lastRenderedPageBreak/>
              <w:t>mancata o incompleta comunicazione dei dati concernenti la situazione patrimoniale complessiva del titolare dell'incarico (di organo di indirizzo politico) al momento dell'assunzione della carica, la titolarità di imprese, le partecipazioni azionarie proprie, del coniuge e dei parenti entro il secondo grado di parentela, nonché tutti i compensi cui dà diritto l'assu</w:t>
            </w:r>
            <w:r>
              <w:rPr>
                <w:rFonts w:ascii="Cambria" w:eastAsia="Times New Roman" w:hAnsi="Cambria"/>
                <w:color w:val="000000"/>
                <w:w w:val="84"/>
                <w:sz w:val="18"/>
                <w:szCs w:val="18"/>
                <w:lang w:val="it-IT" w:eastAsia="it-IT"/>
              </w:rPr>
              <w:t>n</w:t>
            </w:r>
            <w:r w:rsidRPr="001E1933">
              <w:rPr>
                <w:rFonts w:ascii="Cambria" w:eastAsia="Times New Roman" w:hAnsi="Cambria"/>
                <w:color w:val="000000"/>
                <w:w w:val="84"/>
                <w:sz w:val="18"/>
                <w:szCs w:val="18"/>
                <w:lang w:val="it-IT" w:eastAsia="it-IT"/>
              </w:rPr>
              <w:t>zione della carica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lastRenderedPageBreak/>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Rendiconti gruppi consiliari regionali/provinciali</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E</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28,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Rendiconti gruppi consiliari regionali/provinciali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Rendiconti di esercizio annuale dei gruppi consiliari regionali e provinciali, con evidenza delle risorse trasferite o assegnate a ciascun gruppo, con indicazione del titolo di trasferimento e dell'impiego delle risorse utilizzate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degli organi di controllo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e relazioni degli organi di controllo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Articolazione degli uffici</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13, c. 1, lett. b),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Articolazione degli uffici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Articolazione degli uffici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13, c. 1, lett. c),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Organigramma</w:t>
            </w:r>
            <w:r>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(da pubblicare sotto forma di organigramma, in modo tale che a ciascun ufficio sia assegnato un link ad una pagina contenente tutte le informazioni previste dalla norma)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 Illustrazione in forma semplificata, ai fini della piena accessibilità e comprensibilità dei dati, dell'organizzazione dell'amministrazione, mediante l'organigramma o analoghe rappresentazioni grafiche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13, c. 1, lett. b),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Competenze e risorse a disposizione di ciascun ufficio, anche di livello dirigenziale non generale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13, c. 1, lett. b),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Nomi dei dirigenti responsabili dei singoli uffici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Telefono e posta elettronica</w:t>
            </w:r>
          </w:p>
        </w:tc>
        <w:tc>
          <w:tcPr>
            <w:tcW w:w="0" w:type="auto"/>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13, c. 1, lett. d),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Telefono e posta elettronica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completo dei numeri di telefono e delle caselle di posta elettronica istituzionali e delle caselle di posta elettronica certificata dedicate, cui il cittadino possa rivolgersi per qualsiasi richiesta inerente i compiti istituzionali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Consulenti e collaboratori</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T</w:t>
            </w:r>
            <w:r w:rsidRPr="001E1933">
              <w:rPr>
                <w:rFonts w:ascii="Cambria" w:eastAsia="Times New Roman" w:hAnsi="Cambria"/>
                <w:color w:val="000000"/>
                <w:w w:val="84"/>
                <w:sz w:val="18"/>
                <w:szCs w:val="18"/>
                <w:lang w:val="it-IT" w:eastAsia="it-IT"/>
              </w:rPr>
              <w:t>(ex 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2, d.lgs. n. 33/2013</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Consulenti e col</w:t>
            </w:r>
            <w:r>
              <w:rPr>
                <w:rFonts w:ascii="Cambria" w:eastAsia="Times New Roman" w:hAnsi="Cambria"/>
                <w:w w:val="84"/>
                <w:sz w:val="18"/>
                <w:szCs w:val="18"/>
                <w:lang w:val="it-IT" w:eastAsia="it-IT"/>
              </w:rPr>
              <w:t xml:space="preserve">laboratori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Estremi degli atti di conferimento di incarichi di collaborazione o di consulenza a soggetti esterni a qualsiasi titolo (compresi quelli affidati con contratto di collaborazione coordinata e continuativa) per i quali è previsto un compenso con indicazione dei soggetti percettori, della ragione dell'incarico e dell'ammontare erogato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Per ciascun titolare di 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10, c. 8, lett. d), d.lgs. n. 33/2013</w:t>
            </w:r>
            <w:r w:rsidRPr="001E1933">
              <w:rPr>
                <w:rFonts w:ascii="Cambria" w:eastAsia="Times New Roman" w:hAnsi="Cambria"/>
                <w:w w:val="84"/>
                <w:sz w:val="18"/>
                <w:szCs w:val="18"/>
                <w:lang w:val="it-IT" w:eastAsia="it-IT"/>
              </w:rPr>
              <w:br/>
              <w:t>Art. 15, c. 1, lett. b),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1) curriculum, redatto in conformità al vigente modello europeo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d),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2) compensi comunque denominati, relativi al rapporto di lavoro, di consulenza o di collaborazione (compresi quelli affidati con contratto di collaborazione coordinata e continuativa), con specifica evidenza delle eventuali componenti variabili o legate alla valutazione del risultato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c),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dati relativi allo svolgimento di incarichi o alla titolarità di cariche in enti di diritto privato regolati o finanziati dalla pubblica amministrazione o allo svolgimento di attività professionali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2, d.lgs. n. 33/2013</w:t>
            </w:r>
            <w:r w:rsidRPr="001E1933">
              <w:rPr>
                <w:rFonts w:ascii="Cambria" w:eastAsia="Times New Roman" w:hAnsi="Cambria"/>
                <w:w w:val="84"/>
                <w:sz w:val="18"/>
                <w:szCs w:val="18"/>
                <w:lang w:val="it-IT" w:eastAsia="it-IT"/>
              </w:rPr>
              <w:br/>
              <w:t>Art. 53, c. 14, d.lgs. n. 165/2001</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Tabelle relative agli elenchi dei consulenti con indicazione di oggetto, durata e compenso dell'incarico (comunicate alla Funzione pubblica)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53, c. 14, d.lgs. n. 165/2001</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Attestazione dell'avvenuta verifica dell'insussistenza di situazioni, anche potenziali, di conflitto di interesse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Personale</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Incarichi amministrativi di vertice </w:t>
            </w:r>
            <w:r w:rsidRPr="001E1933">
              <w:rPr>
                <w:rFonts w:ascii="Cambria" w:eastAsia="Times New Roman" w:hAnsi="Cambria"/>
                <w:color w:val="000000"/>
                <w:w w:val="84"/>
                <w:sz w:val="18"/>
                <w:szCs w:val="18"/>
                <w:lang w:val="it-IT" w:eastAsia="it-IT"/>
              </w:rPr>
              <w:br/>
              <w:t xml:space="preserve">(Segretario generale, Capo Dipartimento, Direttore generale o posizioni assimilate) </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T</w:t>
            </w:r>
            <w:r>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(ex 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a), d.lgs. n. 33/2013</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Incarichi amministrativi di vertice</w:t>
            </w:r>
            <w:r>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degli atti di conferimento di incarichi amministrativi di vertice a soggetti dipendenti della pubblica amministrazione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2,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degli atti di conferimento di incarichi amministrativi di vertice a soggetti estranei alla pubblica amministrazione con indicazione dei soggetti percettori, della ragione dell'incarico e dell'ammontare erogato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Per ciascun titolare di 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10, c. 8, lett. d), d.lgs. n. 33/2013</w:t>
            </w:r>
            <w:r w:rsidRPr="001E1933">
              <w:rPr>
                <w:rFonts w:ascii="Cambria" w:eastAsia="Times New Roman" w:hAnsi="Cambria"/>
                <w:w w:val="84"/>
                <w:sz w:val="18"/>
                <w:szCs w:val="18"/>
                <w:lang w:val="it-IT" w:eastAsia="it-IT"/>
              </w:rPr>
              <w:br/>
              <w:t>Art. 15, c. 1, lett. b),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curriculum, redatto in conformità al vigente modello europeo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d),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compensi, comunque denominati, relativi al rapporto di lavoro, con specifica evidenza delle eventuali componenti variabili o legate alla valutazione del risultato, ed ammontare erogato, e a incarichi di consulenza e collaborazione da parte dell'amministrazione di appartenenza o di altro soggetto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c),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dati relativi allo svolgimento di incarichi o alla titolarità di cariche in enti di diritto privato regolati o finanziati dalla pubblica amministrazione o allo svolgimento di attività professionali, e relativi compensi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dichiarazione sulla insussistenza di una delle cause di inconferibilità dell'incarico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 xml:space="preserve">(art. 20, c. 1,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dichiarazione sulla insussistenza di una delle cause di incompatibilità al conferimento dell'incarico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 xml:space="preserve">(art. 20, c. 2,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Incarichi amministrativi di vertice</w:t>
            </w:r>
            <w:r>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Direttore generale, Direttore sanitario, Direttore amministrativo)</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H</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41,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SSN - Bandi e avvisi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Bandi e avvisi di selezione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SSN - Procedure selettive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e dati concernenti le procedure di conferimento degli incarichi di direttore generale, direttore sanitario e direttore amministrativo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41, c. 3,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SSN- Incarichi amministrativi di vertice</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ed atti di conferimento di incarichi amministrativi di vertice a soggetti dipendenti della pubblica amministrazione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ed atti di conferimento di incarichi amministrativi di vertice a soggetti estranei alla pubblica amministrazione con indicazione dei soggetti percettori, della ragione dell'incarico e dell'ammontare erogato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Per ciascun titolare di 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curriculum vitae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compensi, comunque denominati, relativi al rapporto di lavoro, con specifica evidenza delle eventuali componenti variabili o legate alla valutazione del risultato, e a incarichi di consulenza e collaborazione da parte dell'amministrazione di appartenenza o di altro soggetto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3) dati relativi allo svolgimento di incarichi o la titolarità di cariche in enti di diritto privato regolati o finanziati dalla pubblica amministrazione o allo svolgimento di attività professionali (comprese le prestazioni svolte in regime intramurario), e relativi compensi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dichiarazione sulla insussistenza di una delle cause di inconferibilità dell'incarico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 xml:space="preserve">(art. 20, c. 1,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dichiarazione sulla insussistenza di una delle cause di incompatibilità al conferimento dell'incarico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 xml:space="preserve">(art. 20, c. 2,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Dirigenti</w:t>
            </w:r>
            <w:r>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(dirigenti non generali) </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T</w:t>
            </w:r>
            <w:r w:rsidRPr="001E1933">
              <w:rPr>
                <w:rFonts w:ascii="Cambria" w:eastAsia="Times New Roman" w:hAnsi="Cambria"/>
                <w:b/>
                <w:bCs/>
                <w:color w:val="000000"/>
                <w:w w:val="84"/>
                <w:sz w:val="18"/>
                <w:szCs w:val="18"/>
                <w:lang w:val="it-IT" w:eastAsia="it-IT"/>
              </w:rPr>
              <w:br/>
            </w:r>
            <w:r w:rsidRPr="001E1933">
              <w:rPr>
                <w:rFonts w:ascii="Cambria" w:eastAsia="Times New Roman" w:hAnsi="Cambria"/>
                <w:b/>
                <w:bCs/>
                <w:color w:val="000000"/>
                <w:w w:val="84"/>
                <w:sz w:val="18"/>
                <w:szCs w:val="18"/>
                <w:lang w:val="it-IT" w:eastAsia="it-IT"/>
              </w:rPr>
              <w:br/>
            </w:r>
            <w:r w:rsidRPr="001E1933">
              <w:rPr>
                <w:rFonts w:ascii="Cambria" w:eastAsia="Times New Roman" w:hAnsi="Cambria"/>
                <w:color w:val="000000"/>
                <w:w w:val="84"/>
                <w:sz w:val="18"/>
                <w:szCs w:val="18"/>
                <w:lang w:val="it-IT" w:eastAsia="it-IT"/>
              </w:rPr>
              <w:t>(ex 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a),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Dirigenti</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degli atti di conferimento di incarichi dirigenziali a soggetti dipendenti della pubblica amministrazione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Estremi degli atti di conferimento di incarichi dirigenziali a soggetti estranei alla pubblica amministrazione con indicazione dei soggetti percettori, della ragione dell'incarico e dell'ammontare erogato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Per ciascun titolare di 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10, c. 8, lett. d), d.lgs. n. 33/2013</w:t>
            </w:r>
            <w:r w:rsidRPr="001E1933">
              <w:rPr>
                <w:rFonts w:ascii="Cambria" w:eastAsia="Times New Roman" w:hAnsi="Cambria"/>
                <w:w w:val="84"/>
                <w:sz w:val="18"/>
                <w:szCs w:val="18"/>
                <w:lang w:val="it-IT" w:eastAsia="it-IT"/>
              </w:rPr>
              <w:br/>
              <w:t>Art. 15, c. 1, lett. b),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Curriculum, redatto in conformità al vigente modello europeo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d),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compensi, comunque denominati, relativi al rapporto di lavoro, con specifica evidenza delle eventuali componenti variabili o legate alla valutazione del risultato, e a incarichi di consulenza e collaborazione da parte dell'amministrazione di appartenenza o di altro soggetto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1, lett. c),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dati relativi allo svolgimento di incarichi o alla titolarità di cariche in enti di diritto privato regolati o finanziati dalla pubblica amministrazione o allo svolgimento di attività professionali, e relativi compensi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dichiarazione sulla insussistenza di una delle cause di inconferibilità dell'incarico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 xml:space="preserve">(art. 20, c. 1,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dichiarazione sulla insussistenza di una delle cause di incompatibilità al conferimento dell'incarico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 xml:space="preserve">(art. 20, c. 2,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T</w:t>
            </w:r>
            <w:r>
              <w:rPr>
                <w:rFonts w:ascii="Cambria" w:eastAsia="Times New Roman" w:hAnsi="Cambria"/>
                <w:b/>
                <w:bCs/>
                <w:w w:val="84"/>
                <w:sz w:val="18"/>
                <w:szCs w:val="18"/>
                <w:lang w:val="it-IT" w:eastAsia="it-IT"/>
              </w:rPr>
              <w:t xml:space="preserve"> </w:t>
            </w:r>
            <w:r w:rsidRPr="001E1933">
              <w:rPr>
                <w:rFonts w:ascii="Cambria" w:eastAsia="Times New Roman" w:hAnsi="Cambria"/>
                <w:w w:val="84"/>
                <w:sz w:val="18"/>
                <w:szCs w:val="18"/>
                <w:lang w:val="it-IT" w:eastAsia="it-IT"/>
              </w:rPr>
              <w:t>(ex A)</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15, c. 5, d.lgs. n. 33/2013</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Elenco posizioni dirigenziali discrezionali</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Elenco delle posizioni dirigenziali, integrato dai relativi titoli e curricula, attribuite a persone, anche esterne alle pubbliche amministrazioni, individuate discrezionalmente dall'organo di indirizzo politico senza procedure pubbliche di selezione</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19, c. 1-bis, d.lgs. n. 165/2001</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Posti di funzione disponibili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Numero e tipologia dei posti di funzione che si rendono disponibili nella dotazione organica e relativi criteri di scelta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N</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7, d.p.r. n. 108/2004</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Ruolo dirigenti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Ruolo dei dirigenti nelle amministrazioni dello Stato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Dirigenti (Responsabili di Dipartimento e Responsabili di strutture semplici e complesse)</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H</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41, c. 2,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SSN </w:t>
            </w:r>
            <w:r>
              <w:rPr>
                <w:rFonts w:ascii="Cambria" w:eastAsia="Times New Roman" w:hAnsi="Cambria"/>
                <w:color w:val="000000"/>
                <w:w w:val="84"/>
                <w:sz w:val="18"/>
                <w:szCs w:val="18"/>
                <w:lang w:val="it-IT" w:eastAsia="it-IT"/>
              </w:rPr>
              <w:t>–</w:t>
            </w:r>
            <w:r w:rsidRPr="001E1933">
              <w:rPr>
                <w:rFonts w:ascii="Cambria" w:eastAsia="Times New Roman" w:hAnsi="Cambria"/>
                <w:color w:val="000000"/>
                <w:w w:val="84"/>
                <w:sz w:val="18"/>
                <w:szCs w:val="18"/>
                <w:lang w:val="it-IT" w:eastAsia="it-IT"/>
              </w:rPr>
              <w:t xml:space="preserve"> Dirigenti</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Bandi e avvisi di selezione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e dati concernenti le procedure di conferimento degli incarichi</w:t>
            </w:r>
            <w:r w:rsidRPr="001E1933">
              <w:rPr>
                <w:rFonts w:ascii="Cambria" w:eastAsia="Times New Roman" w:hAnsi="Cambria"/>
                <w:w w:val="84"/>
                <w:sz w:val="18"/>
                <w:szCs w:val="18"/>
                <w:lang w:val="it-IT" w:eastAsia="it-IT"/>
              </w:rPr>
              <w:t xml:space="preserve"> di responsabile di dipartimento e</w:t>
            </w:r>
            <w:r w:rsidRPr="001E1933">
              <w:rPr>
                <w:rFonts w:ascii="Cambria" w:eastAsia="Times New Roman" w:hAnsi="Cambria"/>
                <w:color w:val="008000"/>
                <w:w w:val="84"/>
                <w:sz w:val="18"/>
                <w:szCs w:val="18"/>
                <w:lang w:val="it-IT" w:eastAsia="it-IT"/>
              </w:rPr>
              <w:t xml:space="preserve"> </w:t>
            </w:r>
            <w:r w:rsidRPr="001E1933">
              <w:rPr>
                <w:rFonts w:ascii="Cambria" w:eastAsia="Times New Roman" w:hAnsi="Cambria"/>
                <w:color w:val="000000"/>
                <w:w w:val="84"/>
                <w:sz w:val="18"/>
                <w:szCs w:val="18"/>
                <w:lang w:val="it-IT" w:eastAsia="it-IT"/>
              </w:rPr>
              <w:t>di strutture semplici e complesse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41, c. 3,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Estremi ed atti di conferimento di incarichi dirigenziali di responsabile dipartimento e di strutture semplici e complesse a soggetti dipendenti della pubblica amministrazione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Estremi ed atti di conferim</w:t>
            </w:r>
            <w:r>
              <w:rPr>
                <w:rFonts w:ascii="Cambria" w:eastAsia="Times New Roman" w:hAnsi="Cambria"/>
                <w:w w:val="84"/>
                <w:sz w:val="18"/>
                <w:szCs w:val="18"/>
                <w:lang w:val="it-IT" w:eastAsia="it-IT"/>
              </w:rPr>
              <w:t xml:space="preserve">ento di incarichi dirigenziali </w:t>
            </w:r>
            <w:r w:rsidRPr="001E1933">
              <w:rPr>
                <w:rFonts w:ascii="Cambria" w:eastAsia="Times New Roman" w:hAnsi="Cambria"/>
                <w:w w:val="84"/>
                <w:sz w:val="18"/>
                <w:szCs w:val="18"/>
                <w:lang w:val="it-IT" w:eastAsia="it-IT"/>
              </w:rPr>
              <w:t>di responsabile di dipartimento e di strutture</w:t>
            </w:r>
            <w:r>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semplici e complesse a soggetti estranei alla pubblica amministrazione con indicazione dei soggetti percettori, della ragione dell'incarico e dell'ammontare erogato (NB: sono da includersi sia i dirigenti contrattualizzati sia quelli posti in regime di diritto pubblico)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Per ciascun titolare di incarico di responsabile di dipartimento e di struttura complessa: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1) curriculum vitae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2) compensi, comunque denominati, relativi al rapporto di lavoro, con specifica evidenza delle eventuali componenti variabili o legate alla valutazione del risultato, e a incarichi di consulenza e collaborazione da parte dell'amministrazione di appartenenza o di altro soggetto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3) dati relativi allo svolgimento di incarichi o la titolarità di cariche in enti di diritto privato regolati o finanziati dalla pubblica amministrazione o allo svolgimento di attività professionali (comprese le prestazioni svolte in regime intramurario), e relativi compensi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Posizioni organizzative</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10, c. 8, lett. d),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Posizioni organizzative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Curricula dei titolari di posizioni organizzative redatti in conformità al vigente modello europeo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Dotazione organica</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16,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Conto annuale del personale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Conto annuale del personale e relative spese sostenute, nell'ambito del quale sono rappresentati i dati relativi alla dotazione organica e al personale effettivamente in servizio e al relativo costo, con l'indicazione della distribuzione tra le diverse qualifiche e aree professionali, con particolare riguardo al personale assegnato agli uffici di diretta collaborazione con gli organi di indirizzo politico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16,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16,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Costo personale tempo indeterminato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Costo complessivo del personale a tempo indeterminato in servizio, articolato per aree professionali, con particolare riguardo al personale assegnato agli uffici di diretta collaborazione con gli organi di indirizzo politico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16, c. 2,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Personale non a tempo indeterminato</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17,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Personale non a tempo indeterminato</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Personale con rapporto di lavoro non a tempo indeterminato ed elenco dei titolari dei contratti a tempo determinato, con l'indicazione delle diverse tipologie di rapporto, della distribuzione di questo personale tra le diverse qualifiche e aree professionali, ivi compreso il personale assegnato agli uffici di diretta collaborazione con gli organi di indirizzo politico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17,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17,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Costo del pers</w:t>
            </w:r>
            <w:r>
              <w:rPr>
                <w:rFonts w:ascii="Cambria" w:eastAsia="Times New Roman" w:hAnsi="Cambria"/>
                <w:color w:val="000000"/>
                <w:w w:val="84"/>
                <w:sz w:val="18"/>
                <w:szCs w:val="18"/>
                <w:lang w:val="it-IT" w:eastAsia="it-IT"/>
              </w:rPr>
              <w:t xml:space="preserve">onale non a tempo indeterminato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Costo complessivo del personale con rapporto di lavoro non a tempo indeterminato, articolato per aree professionali, con particolare riguardo al personale assegnato agli uffici di diretta collaborazione con gli organi di indirizzo politico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Trimestrale </w:t>
            </w:r>
            <w:r w:rsidRPr="001E1933">
              <w:rPr>
                <w:rFonts w:ascii="Cambria" w:eastAsia="Times New Roman" w:hAnsi="Cambria"/>
                <w:color w:val="000000"/>
                <w:w w:val="84"/>
                <w:sz w:val="18"/>
                <w:szCs w:val="18"/>
                <w:lang w:val="it-IT" w:eastAsia="it-IT"/>
              </w:rPr>
              <w:br/>
              <w:t>(art. 17, c. 2,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Tassi di assenza</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16, c. 3,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Tassi di assenza</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Tassi di assenza del personale distinti per uffici di livello dirigenziale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Trimestrale </w:t>
            </w:r>
            <w:r w:rsidRPr="001E1933">
              <w:rPr>
                <w:rFonts w:ascii="Cambria" w:eastAsia="Times New Roman" w:hAnsi="Cambria"/>
                <w:color w:val="000000"/>
                <w:w w:val="84"/>
                <w:sz w:val="18"/>
                <w:szCs w:val="18"/>
                <w:lang w:val="it-IT" w:eastAsia="it-IT"/>
              </w:rPr>
              <w:br/>
              <w:t>(art. 16,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Incarichi conferiti e autorizzati ai dipendenti (dirigenti e non dirigenti)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18, d.lgs. n. 33/2013</w:t>
            </w:r>
            <w:r w:rsidRPr="001E1933">
              <w:rPr>
                <w:rFonts w:ascii="Cambria" w:eastAsia="Times New Roman" w:hAnsi="Cambria"/>
                <w:color w:val="000000"/>
                <w:w w:val="84"/>
                <w:sz w:val="18"/>
                <w:szCs w:val="18"/>
                <w:lang w:val="it-IT" w:eastAsia="it-IT"/>
              </w:rPr>
              <w:br/>
              <w:t>Art. 53, c. 14, d.lgs. n. 165/2001</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Incarichi conferiti e autorizzati ai dipendenti (dirigenti e non dirigenti)</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degli incarichi conferiti o autorizzati a ciascun dipendente (dirigente e non dirigente), con l'indicazione dell'oggetto, della durata e del compenso spettante per ogni 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Contrattazione collettiva</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21, c. 1, d.lgs. n. 33/2013</w:t>
            </w:r>
            <w:r w:rsidRPr="001E1933">
              <w:rPr>
                <w:rFonts w:ascii="Cambria" w:eastAsia="Times New Roman" w:hAnsi="Cambria"/>
                <w:color w:val="000000"/>
                <w:w w:val="84"/>
                <w:sz w:val="18"/>
                <w:szCs w:val="18"/>
                <w:lang w:val="it-IT" w:eastAsia="it-IT"/>
              </w:rPr>
              <w:br/>
              <w:t>Art. 47, c. 8, d.lgs. n. 165/2001</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Contrattazione collettiva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Riferimenti necessari per la consultazione dei contratti e accordi collettivi nazionali ed eventuali interpretazioni autentiche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Contrattazione integrativa</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21,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Contratti integrativi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Contratti integrativi stipulati, con la relazione tecnico-finanziaria e quella illustrativa certificate dagli organi di controllo (collegio dei revisori dei conti, collegio sindacale, uffici centrali di bilancio o analoghi organi previsti dai rispettivi ordinamenti)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21, c. 2, d.lgs. n. 33/2013</w:t>
            </w:r>
            <w:r w:rsidRPr="001E1933">
              <w:rPr>
                <w:rFonts w:ascii="Cambria" w:eastAsia="Times New Roman" w:hAnsi="Cambria"/>
                <w:color w:val="000000"/>
                <w:w w:val="84"/>
                <w:sz w:val="18"/>
                <w:szCs w:val="18"/>
                <w:lang w:val="it-IT" w:eastAsia="it-IT"/>
              </w:rPr>
              <w:br/>
              <w:t>Art. 55, c. 4,d.lgs. n. 150/2009</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Costi contratti integrativi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Specifiche </w:t>
            </w:r>
            <w:r>
              <w:rPr>
                <w:rFonts w:ascii="Cambria" w:eastAsia="Times New Roman" w:hAnsi="Cambria"/>
                <w:color w:val="000000"/>
                <w:w w:val="84"/>
                <w:sz w:val="18"/>
                <w:szCs w:val="18"/>
                <w:lang w:val="it-IT" w:eastAsia="it-IT"/>
              </w:rPr>
              <w:t xml:space="preserve">informazioni sui costi </w:t>
            </w:r>
            <w:r w:rsidRPr="001E1933">
              <w:rPr>
                <w:rFonts w:ascii="Cambria" w:eastAsia="Times New Roman" w:hAnsi="Cambria"/>
                <w:color w:val="000000"/>
                <w:w w:val="84"/>
                <w:sz w:val="18"/>
                <w:szCs w:val="18"/>
                <w:lang w:val="it-IT" w:eastAsia="it-IT"/>
              </w:rPr>
              <w:t>della contrattazione integrativa, certificate dagli organi di controllo  interno, trasmesse al  Ministero dell'Economia e delle finanze, che predispone, allo scopo, uno specifico modello di rilevazione, d'intesa con la Corte dei conti e con la Presidenza del Consiglio dei Ministri - Dipartimento della funzione pubblica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55, c. 4, d.lgs. n. 150/2009)</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noWrap/>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OIV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10, c. 8, lett. c),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OIV</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Nominativi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10, c. 8, lett. c),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Curricula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Par. 14.2, delib. CiVIT n. 12/2013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Compensi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Bandi di concorso</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19,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Bandi di concorso</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Bandi di concorso per il reclutamento, a qualsiasi titolo, di personale presso l'amministrazione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19,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dei bandi espletati</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dei bandi in corso e dei bandi espletati nel corso dell'ultimo triennio con l'indicazione, per ciascuno di essi, del numero dei dipendenti assunti e delle spese effettuate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23, cc. 1 e 2, d.lgs. n. 33/2013</w:t>
            </w:r>
            <w:r w:rsidRPr="001E1933">
              <w:rPr>
                <w:rFonts w:ascii="Cambria" w:eastAsia="Times New Roman" w:hAnsi="Cambria"/>
                <w:color w:val="000000"/>
                <w:w w:val="84"/>
                <w:sz w:val="18"/>
                <w:szCs w:val="18"/>
                <w:lang w:val="it-IT" w:eastAsia="it-IT"/>
              </w:rPr>
              <w:br/>
              <w:t>Art. 1, c. 16, lett. d), l. n. 190/2012</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relativi alle procedure selettive</w:t>
            </w:r>
            <w:r>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Concorsi e prove selettive per l'assunzione del personale e progressioni di carriera</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ciascuno dei provvedimenti:</w:t>
            </w: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oggetto</w:t>
            </w: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eventuale spesa prevista</w:t>
            </w: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estremi relativi ai principali documenti contenuti nel fascicolo relativo al procedimento</w:t>
            </w: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Performance</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Sistema di misurazione e valutazione della Performance</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Par. 1, delib. CiVIT n. 104/2010</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Sistema di misurazione e valutazione della Performance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Sistema di misurazione e valutazione della Performance (art. 7, d.lgs. n. 150/2009)</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della Performance</w:t>
            </w: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10, c. 8, lett. b),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della Performance/Piano esecutivo di gestione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della Performance (art. 10, d.lgs. 150/2009)</w:t>
            </w:r>
            <w:r>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Piano esecutivo di gestione (per gli enti locali) (art. 169, c. 3-bis, d.lgs. n. 267/2000)</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sulla Performance</w:t>
            </w: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sulla Performance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sulla Performance (art. 10, d.lgs. 150/2009)</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Documento dell'OIV di validazione della Relazione sulla Performance</w:t>
            </w: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Par. 2.1, delib. CiVIT n. 6/2012</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Documento OIV di validazione della Relazione sulla Performance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Documento dell'OIV di validazione della Relazione sulla Performance (art. 14, c. 4, lett. c), d.lgs. n. 150/2009)</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dell'OIV sul funzionamento complessivo del Sistema di valutazione, trasparenza e integrità dei controlli interni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Q</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Par. 4, delib. CiVIT n. 23/2013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OIV sul funzionamento del Sistema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dell'OIV sul funzionamento complessivo del Sistema di valutazione, trasparenza e integrità dei controlli interni (art. 14, c. 4, lett. a), d.lgs. n. 150/2009)</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Ammontare complessivo dei premi</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1,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Ammontare complessivo dei premi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Ammontare complessivo dei premi collegati alla performance stanziati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Ammontare dei premi effettivamente distribuiti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relativi ai premi</w:t>
            </w: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2,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relativi ai premi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Entità del premio mediamente conseguibile dal personale dirigenziale e non dirigenziale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Distribuzione del trattamento accessorio, in forma aggregata, al fine di dare conto del livello di selettività utilizzato nella distribuzione dei premi e degli incentivi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Grado di differenziazione dell'utilizzo della premialità sia per i dirigenti sia per i dipendenti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Benessere organizzativo</w:t>
            </w: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Benessere organizzativo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Livelli di benessere organizzativo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Enti controllati</w:t>
            </w:r>
            <w:r w:rsidRPr="001E1933">
              <w:rPr>
                <w:rFonts w:ascii="Cambria" w:eastAsia="Times New Roman" w:hAnsi="Cambria"/>
                <w:b/>
                <w:bCs/>
                <w:color w:val="000000"/>
                <w:w w:val="84"/>
                <w:sz w:val="18"/>
                <w:szCs w:val="18"/>
                <w:lang w:val="it-IT" w:eastAsia="it-IT"/>
              </w:rPr>
              <w:br/>
            </w:r>
            <w:r w:rsidRPr="001E1933">
              <w:rPr>
                <w:rFonts w:ascii="Cambria" w:eastAsia="Times New Roman" w:hAnsi="Cambria"/>
                <w:b/>
                <w:bCs/>
                <w:color w:val="000000"/>
                <w:w w:val="84"/>
                <w:sz w:val="18"/>
                <w:szCs w:val="18"/>
                <w:lang w:val="it-IT" w:eastAsia="it-IT"/>
              </w:rPr>
              <w:br/>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Enti pubblici vigilati</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r w:rsidR="00B524F5">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(ex C, </w:t>
            </w:r>
            <w:r w:rsidR="00B524F5" w:rsidRPr="001E1933">
              <w:rPr>
                <w:rFonts w:ascii="Cambria" w:eastAsia="Times New Roman" w:hAnsi="Cambria"/>
                <w:color w:val="000000"/>
                <w:w w:val="84"/>
                <w:sz w:val="18"/>
                <w:szCs w:val="18"/>
                <w:lang w:val="it-IT" w:eastAsia="it-IT"/>
              </w:rPr>
              <w:t>soppresso</w:t>
            </w:r>
            <w:r w:rsidRPr="001E1933">
              <w:rPr>
                <w:rFonts w:ascii="Cambria" w:eastAsia="Times New Roman" w:hAnsi="Cambria"/>
                <w:color w:val="000000"/>
                <w:w w:val="84"/>
                <w:sz w:val="18"/>
                <w:szCs w:val="18"/>
                <w:lang w:val="it-IT" w:eastAsia="it-IT"/>
              </w:rPr>
              <w:t xml:space="preserve"> e confluito in 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1, lett. a),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Enti pubblici vigilati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degli enti pubblici, comunque denominati, istituiti, vigilati e finanziati dall'amministrazione ovvero per i quali l'amministrazione abbia il potere di nomina degli amministratori dell'ente, con l'indicazione delle funzioni attribuite e delle attività svolte in favore dell'amministrazione o delle attività di servizio pubblico affidate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ciascuno degli 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ragione sociale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misura dell'eventuale partecipazione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durata dell'impegno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onere complessivo a qualsiasi titolo gravante per l'anno sul bilancio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numero dei rappresentanti dell'amministrazione negli organi di governo e trattamento economico complessivo a ciascuno di essi spettante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6) risultati di bilancio degli ultimi tre esercizi finanziari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 incarichi di amministratore dell'ente e relativo trattamento economico complessivo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7A. Dichiarazione sulla insussistenza di una delle cause di inconferibilità dell'incarico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 xml:space="preserve">(art. 20, c. 1,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7B. Dichiarazione sulla insussistenza di una delle cause di incompatibilità al conferimento dell'incarico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 xml:space="preserve">(art. 20, c. 2,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r w:rsidR="00B524F5">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(ex C, </w:t>
            </w:r>
            <w:r w:rsidR="00B524F5" w:rsidRPr="001E1933">
              <w:rPr>
                <w:rFonts w:ascii="Cambria" w:eastAsia="Times New Roman" w:hAnsi="Cambria"/>
                <w:color w:val="000000"/>
                <w:w w:val="84"/>
                <w:sz w:val="18"/>
                <w:szCs w:val="18"/>
                <w:lang w:val="it-IT" w:eastAsia="it-IT"/>
              </w:rPr>
              <w:t>soppresso</w:t>
            </w:r>
            <w:r w:rsidRPr="001E1933">
              <w:rPr>
                <w:rFonts w:ascii="Cambria" w:eastAsia="Times New Roman" w:hAnsi="Cambria"/>
                <w:color w:val="000000"/>
                <w:w w:val="84"/>
                <w:sz w:val="18"/>
                <w:szCs w:val="18"/>
                <w:lang w:val="it-IT" w:eastAsia="it-IT"/>
              </w:rPr>
              <w:t xml:space="preserve"> e confluito in 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3,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Collegamento con i siti istituzionali degli enti pubblici vigilati nei quali sono pubblicati i dati relativi ai componenti degli organi di indirizzo politico e ai soggetti titolari di incarichi dirigenziali, di collaborazione o consulenza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Società partecipate</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r w:rsidR="00B524F5">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(ex C, </w:t>
            </w:r>
            <w:r w:rsidR="00B524F5" w:rsidRPr="001E1933">
              <w:rPr>
                <w:rFonts w:ascii="Cambria" w:eastAsia="Times New Roman" w:hAnsi="Cambria"/>
                <w:color w:val="000000"/>
                <w:w w:val="84"/>
                <w:sz w:val="18"/>
                <w:szCs w:val="18"/>
                <w:lang w:val="it-IT" w:eastAsia="it-IT"/>
              </w:rPr>
              <w:t>soppresso</w:t>
            </w:r>
            <w:r w:rsidRPr="001E1933">
              <w:rPr>
                <w:rFonts w:ascii="Cambria" w:eastAsia="Times New Roman" w:hAnsi="Cambria"/>
                <w:color w:val="000000"/>
                <w:w w:val="84"/>
                <w:sz w:val="18"/>
                <w:szCs w:val="18"/>
                <w:lang w:val="it-IT" w:eastAsia="it-IT"/>
              </w:rPr>
              <w:t xml:space="preserve"> e confluito in 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1, lett. b),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Società partecipate</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delle società di cui l'amministrazione detiene direttamente quote di partecipazione anche minoritaria, con l'indicazione dell'entità, delle funzioni attribuite e delle attività svolte in favore dell'amministrazione o delle attività di servizio pubblico affidate, ad esclusione delle società partecipate da amministrazioni pubbliche, quotate in mercati regolamentati e loro controllate (ex art. 22, c. 6, d.lgs. n. 33/2013)</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ciascuna delle società:</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ragione sociale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misura dell'eventuale partecipazione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durata dell'impegno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onere complessivo a qualsiasi titolo gravante per l'anno sul bilancio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numero dei rappresentanti dell'amministrazione negli organi di governo e trattamento economico complessivo a ciascuno di essi spettante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6) risultati di bilancio degli ultimi tre esercizi finanziari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 incarichi di amministratore della società e relativo trattamento economico complessivo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3,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Collegamento con i siti istituzionali delle società partecipate nei quali sono pubblicati i dati relativi ai componenti degli organi di indirizzo politico e ai soggetti titolari di incarichi dirigenziali, di collaborazione o consulenza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Enti di diritto privato controllati</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r w:rsidR="00B524F5">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(ex C, </w:t>
            </w:r>
            <w:r w:rsidR="00B524F5" w:rsidRPr="001E1933">
              <w:rPr>
                <w:rFonts w:ascii="Cambria" w:eastAsia="Times New Roman" w:hAnsi="Cambria"/>
                <w:color w:val="000000"/>
                <w:w w:val="84"/>
                <w:sz w:val="18"/>
                <w:szCs w:val="18"/>
                <w:lang w:val="it-IT" w:eastAsia="it-IT"/>
              </w:rPr>
              <w:t>soppresso</w:t>
            </w:r>
            <w:r w:rsidRPr="001E1933">
              <w:rPr>
                <w:rFonts w:ascii="Cambria" w:eastAsia="Times New Roman" w:hAnsi="Cambria"/>
                <w:color w:val="000000"/>
                <w:w w:val="84"/>
                <w:sz w:val="18"/>
                <w:szCs w:val="18"/>
                <w:lang w:val="it-IT" w:eastAsia="it-IT"/>
              </w:rPr>
              <w:t xml:space="preserve"> e confluito in 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1, lett. c),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Enti di diritto privato controllati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degli enti di diritto privato, comunque denominati, in controllo dell'amministrazione, con l'indicazione delle funzioni attribuite e delle attività svolte in favore dell'amministrazione o delle attività di servizio pubblico affidate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ciascuno degli 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ragione sociale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misura dell'eventuale partecipazione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durata dell'impegno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onere complessivo a qualsiasi titolo gravante per l'anno sul bilancio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numero dei rappresentanti dell'amministrazione negli organi di governo e trattamento economico complessivo a ciascuno di essi spettante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6) risultati di bilancio degli ultimi tre esercizi finanziari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 incarichi di amministratore dell'ente e relativo trattamento economico complessivo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7A. Dichiarazione sulla insussistenza di una delle cause di inconferibilità dell'incarico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Tempestivo </w:t>
            </w:r>
            <w:r w:rsidRPr="001E1933">
              <w:rPr>
                <w:rFonts w:ascii="Cambria" w:eastAsia="Times New Roman" w:hAnsi="Cambria"/>
                <w:w w:val="84"/>
                <w:sz w:val="18"/>
                <w:szCs w:val="18"/>
                <w:lang w:val="it-IT" w:eastAsia="it-IT"/>
              </w:rPr>
              <w:br/>
              <w:t xml:space="preserve">(art. 20, c. 1,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20, c. 3, d.lgs. n. 39/2013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7B. Dichiarazione sulla insussistenza di una delle cause di incompatibilità al conferimento dell'incarico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 xml:space="preserve">(art. 20, c. 2, d.lgs. n. 39/2013)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r w:rsidR="00B524F5">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(ex C, sopppresso e confluito in 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3,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Collegamento con i siti istituzionali degli enti di diritto privato controllati nei quali sono pubblicati i dati relativi ai componenti degli organi di indirizzo politico e ai soggetti titolari di incarichi dirigenziali, di collaborazione o consulenza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Rappresentazione grafica</w:t>
            </w:r>
          </w:p>
        </w:tc>
        <w:tc>
          <w:tcPr>
            <w:tcW w:w="0" w:type="auto"/>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r w:rsidR="00B524F5">
              <w:rPr>
                <w:rFonts w:ascii="Cambria" w:eastAsia="Times New Roman" w:hAnsi="Cambria"/>
                <w:b/>
                <w:bCs/>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(ex C, </w:t>
            </w:r>
            <w:r w:rsidR="00B524F5" w:rsidRPr="001E1933">
              <w:rPr>
                <w:rFonts w:ascii="Cambria" w:eastAsia="Times New Roman" w:hAnsi="Cambria"/>
                <w:color w:val="000000"/>
                <w:w w:val="84"/>
                <w:sz w:val="18"/>
                <w:szCs w:val="18"/>
                <w:lang w:val="it-IT" w:eastAsia="it-IT"/>
              </w:rPr>
              <w:t>soppresso</w:t>
            </w:r>
            <w:r w:rsidRPr="001E1933">
              <w:rPr>
                <w:rFonts w:ascii="Cambria" w:eastAsia="Times New Roman" w:hAnsi="Cambria"/>
                <w:color w:val="000000"/>
                <w:w w:val="84"/>
                <w:sz w:val="18"/>
                <w:szCs w:val="18"/>
                <w:lang w:val="it-IT" w:eastAsia="it-IT"/>
              </w:rPr>
              <w:t xml:space="preserve"> e confluito in 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22, c. 1, lett. d),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Rappresentazione grafica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Una o più rappresentazioni grafiche che evidenziano i rapporti tra l'amministrazione e gli enti pubblici vigilati, le società partecipate, gli enti di diritto privato controllati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22,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Attività e procedimenti</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aggregati attività amministrativa</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24,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aggregati attività amministrativa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relativi alla attività amministrativa, in forma aggregata, per settori di attività, per competenza degli organi e degli uffici, per tipologia di procedimenti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r w:rsidRPr="001E1933">
              <w:rPr>
                <w:rFonts w:ascii="Cambria" w:eastAsia="Times New Roman" w:hAnsi="Cambria"/>
                <w:color w:val="000000"/>
                <w:w w:val="84"/>
                <w:sz w:val="18"/>
                <w:szCs w:val="18"/>
                <w:lang w:val="it-IT" w:eastAsia="it-IT"/>
              </w:rPr>
              <w:br/>
              <w:t>La prima pubblicazione decorre dal termine di sei mesi dall'entrata in vigore del decreto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Tipologie di procedimento</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Tipologie di procedimento</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 xml:space="preserve">Per ciascuna tipologia di procedimento: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a),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breve descrizione del procedimento con indicazione di tutti i riferimenti normativi utili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b),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unità organizzative responsabili dell'istruttoria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c),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3)  nome del responsabile del procedimento, unitamente ai recapiti telefonici e alla casella di posta elettronica istituzionale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c),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ove diverso, l'ufficio competente all'adozione del provvedimento finale, con l'indicazione del nome del responsabile dell'ufficio unitamente ai rispettivi recapiti telefonici e alla casella di posta elettronica istituzionale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e),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modalità con le quali gli interessati possono ottenere le informazioni relative ai procedimenti in corso che li riguardino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f),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6) termine fissato in sede di disciplina normativa del procedimento per la conclusione con l'adozione di un provvedimento espresso e ogni altro termine procedimentale rilevante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g),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 procedimenti per i quali il provvedimento dell'amministrazione può essere sostituito da una dichiarazione dell'interessato ovvero il procedimento può concludersi con il silenzio-assenso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h),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8) strumenti di tutela amministrativa e giurisdizionale, riconosciuti dalla legge in favore dell'interessato, nel corso del procedimento nei confronti del provvedimento finale ovvero nei casi di adozione del provvedimento oltre il termine predeterminato per la sua conclusione e i modi per attivarli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i),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9)  link di accesso al servizio on line, ove sia già disponibile in rete, o tempi previsti per la sua attivazione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l),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10) modalità per l'effettuazione dei pagamenti eventualmente necessari, con i codici IBAN identificativi del conto di pagamento, ovvero di imputazione del versamento in Tesoreria,  tramite i quali i soggetti versanti possono effettuare i pagamenti mediante bonifico bancario o postale, ovvero gli identificativi del conto corrente postale sul quale i soggetti versanti possono effettuare i pagamenti mediante bollettino postale, nonchè i codici identificativi del pagamento da indicare obbligatoriamente per il versamento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m),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11) nome del soggetto a cui è attribuito, in caso di inerzia, il potere sostitutivo, nonchè modalità per attivare tale potere, con indicazione dei recapiti telefonici e delle caselle di posta elettronica istituzionale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n),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12) risultati delle indagini di customer satisfaction condotte sulla qualità dei servizi erogati attraverso diversi canali, con il relativo andamento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Per i procedimenti ad istanza di parte: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d),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atti e documenti da allegare all'istanza e modulistica necessaria, compresi i fac-simile per le autocertificazioni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1, lett. d),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uffici ai quali rivolgersi per informazioni, orari e modalità di accesso con indicazione degli indirizzi, recapiti telefonici e caselle di posta elettronica istituzionale a cui presentare le istanze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Singoli procedimenti di autorizzazione e   concessione</w:t>
            </w:r>
            <w:r w:rsidR="00B524F5">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 xml:space="preserve">Per ciascun procedimento di autorizzazione o concessione: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23, d.lgs. n. 33/2013</w:t>
            </w:r>
            <w:r w:rsidRPr="001E1933">
              <w:rPr>
                <w:rFonts w:ascii="Cambria" w:eastAsia="Times New Roman" w:hAnsi="Cambria"/>
                <w:w w:val="84"/>
                <w:sz w:val="18"/>
                <w:szCs w:val="18"/>
                <w:lang w:val="it-IT" w:eastAsia="it-IT"/>
              </w:rPr>
              <w:br/>
              <w:t>Art. 1, cc. 15 e 16, l. n. 190/2012</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1) contenuto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23, d.lgs. n. 33/2013</w:t>
            </w:r>
            <w:r w:rsidRPr="001E1933">
              <w:rPr>
                <w:rFonts w:ascii="Cambria" w:eastAsia="Times New Roman" w:hAnsi="Cambria"/>
                <w:w w:val="84"/>
                <w:sz w:val="18"/>
                <w:szCs w:val="18"/>
                <w:lang w:val="it-IT" w:eastAsia="it-IT"/>
              </w:rPr>
              <w:br/>
              <w:t>Art. 1, cc. 15 e 16, l. n. 190/2012</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2)  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23, d.lgs. n. 33/2013</w:t>
            </w:r>
            <w:r w:rsidRPr="001E1933">
              <w:rPr>
                <w:rFonts w:ascii="Cambria" w:eastAsia="Times New Roman" w:hAnsi="Cambria"/>
                <w:w w:val="84"/>
                <w:sz w:val="18"/>
                <w:szCs w:val="18"/>
                <w:lang w:val="it-IT" w:eastAsia="it-IT"/>
              </w:rPr>
              <w:br/>
              <w:t>Art. 1, cc. 15 e 16, l. n. 190/2012</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3) eventuale spesa prevista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23, d.lgs. n. 33/2013</w:t>
            </w:r>
            <w:r w:rsidRPr="001E1933">
              <w:rPr>
                <w:rFonts w:ascii="Cambria" w:eastAsia="Times New Roman" w:hAnsi="Cambria"/>
                <w:w w:val="84"/>
                <w:sz w:val="18"/>
                <w:szCs w:val="18"/>
                <w:lang w:val="it-IT" w:eastAsia="it-IT"/>
              </w:rPr>
              <w:br/>
              <w:t>Art. 1, cc. 15 e 16, l. n. 190/2012</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4) estremi relativi ai principali documenti contenuti nel fascicolo relativo al procedimento con indicazione del responsabile del procedimento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L</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2, c. 9-bis, l. n. 241/1990</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Per ciascun procedimento nome del soggetto a cui è attribuito, in caso di inerzia, il potere sostitutivo per la conclusione del procedimento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29, l. n. 190/2012</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Indirizzo di posta elettronica certificata a cui il cittadino possa trasmettere istanze e ricevere informazioni circa i provvedimenti e i procedimenti amministrativi che lo riguardano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Monitoraggio tempi procedimentali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24, c. 2, d.lgs. n. 33/2013</w:t>
            </w:r>
            <w:r w:rsidRPr="001E1933">
              <w:rPr>
                <w:rFonts w:ascii="Cambria" w:eastAsia="Times New Roman" w:hAnsi="Cambria"/>
                <w:color w:val="000000"/>
                <w:w w:val="84"/>
                <w:sz w:val="18"/>
                <w:szCs w:val="18"/>
                <w:lang w:val="it-IT" w:eastAsia="it-IT"/>
              </w:rPr>
              <w:br/>
              <w:t>Art. 1, c. 28, l. n. 190/2012</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Monitoraggio tempi procedimentali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Risultati del monitoraggio periodico concernente il rispetto dei tempi procedimentali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r w:rsidRPr="001E1933">
              <w:rPr>
                <w:rFonts w:ascii="Cambria" w:eastAsia="Times New Roman" w:hAnsi="Cambria"/>
                <w:color w:val="000000"/>
                <w:w w:val="84"/>
                <w:sz w:val="18"/>
                <w:szCs w:val="18"/>
                <w:lang w:val="it-IT" w:eastAsia="it-IT"/>
              </w:rPr>
              <w:br/>
              <w:t>La prima pubblicazione decorre dal termine di sei mesi dall'entrata in vigore del decreto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Dichiarazioni sostitutive e acquisizione d'ufficio dei dati</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35, c. 3,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Recapiti dell'ufficio responsabile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Recapiti telefonici e casella di posta elettronica istituzionale dell'ufficio responsabile per le attività volte a gestire, garantire e verificare la trasmissione dei dati o l'accesso diretto degli stessi da parte delle amministrazioni procedenti all'acquisizione d'ufficio dei dati e allo svolgimento dei controlli sulle dichiarazioni sostitutive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Convenzioni-quadro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Convenzioni-quadro volte a disciplinare le modalità di accesso ai dati da parte delle amministrazioni procedenti all'acquisizione d'ufficio dei dati e allo svolgimento dei controlli sulle dichiarazioni sostitutive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Modalità per l'acquisizione d'ufficio dei dati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Ulteriori modalità per la tempestiva acquisizione d'ufficio dei dati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Modalità per lo svolgimento dei controlli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Ulteriori modalità per lo svolgimento dei controlli sulle dichiarazioni sostitutive da parte delle amministrazioni procedenti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Provvedimenti</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Provvedimenti organi indirizzo politico</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23, c. 1, d.lgs. n. 33/2013</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Provvedimenti organi indirizzo politico</w:t>
            </w:r>
            <w:r w:rsidR="00B524F5">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Elenco dei provvedimenti, con particolare riferimento ai provvedimenti finali dei procedimenti di: autorizzazione o concessione; scelta del contraente per l'affidamento di lavori, forniture e servizi, anche con riferimento alla modalità di selezione prescelta; concorsi e prove selettive per l'assunzione del personale e progressioni di carriera; accordi stipulati dall'amministrazione con soggetti privati o con altre amministrazioni pubbliche.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23, c. 2,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ciascuno dei provvedimenti: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contenuto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eventuale spesa prevista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estremi relativi ai principali documenti contenuti nel fascicolo relativo al procedimento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Provvedimenti dirigenti amministrativi</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23, c. 1,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Provvedimenti dirigenti amministrativi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Elenco dei provvedimenti, con particolare riferimento ai provvedimenti finali dei procedimenti di: autorizzazione o concessione; scelta del contraente per l'affidamento di lavori, forniture e servizi, anche con riferimento alla modalità di selezione prescelta; concorsi e prove selettive per l'assunzione del personale e progressioni di carriera; accordi stipulati dall'amministrazione con soggetti privati o con altre amministrazioni pubbliche.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23,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ciascuno dei provvedimenti: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contenuto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oggetto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eventuale spesa prevista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estremi relativi ai principali documenti contenuti nel fascicolo relativo al procedimento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Semestrale </w:t>
            </w:r>
            <w:r w:rsidRPr="001E1933">
              <w:rPr>
                <w:rFonts w:ascii="Cambria" w:eastAsia="Times New Roman" w:hAnsi="Cambria"/>
                <w:color w:val="000000"/>
                <w:w w:val="84"/>
                <w:sz w:val="18"/>
                <w:szCs w:val="18"/>
                <w:lang w:val="it-IT" w:eastAsia="it-IT"/>
              </w:rPr>
              <w:br/>
              <w:t>(art. 23,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Controlli sulle imprese</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25, c. 1, lett. a), d.lgs. n. 33/2013</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Tipologie di controllo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delle tipologie di controllo a cui sono assoggettate le imprese in ragione della dimensione e del settore di attività, con l'indicazione per ciascuna di esse dei criteri e delle relative modalità di svolgimento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25, c. 1, lett. b),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Obblighi e adempimenti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Elenco degli obblighi e degli adempimenti oggetto delle attività di controllo che le imprese sono tenute a rispettare per ottemperare alle disposizioni normative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Bandi di gara e contratti</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63, 66, d.lgs. n. 163/2006</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Avviso di preinformazione</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Avviso di preinformazione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2, d.lgs. n. 33/2013</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Delibera a contrarre</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Delibera a contrarre, nell'ipotesi di procedura negoziata senza previa pubblicazione di un bando di gara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66, 122, d.lgs. n. 163/2006</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bandi ed inviti</w:t>
            </w:r>
            <w:r w:rsidRPr="001E1933">
              <w:rPr>
                <w:rFonts w:ascii="Cambria" w:eastAsia="Times New Roman" w:hAnsi="Cambria"/>
                <w:w w:val="84"/>
                <w:sz w:val="18"/>
                <w:szCs w:val="18"/>
                <w:lang w:val="it-IT" w:eastAsia="it-IT"/>
              </w:rPr>
              <w:br/>
            </w:r>
            <w:r w:rsidRPr="001E1933">
              <w:rPr>
                <w:rFonts w:ascii="Cambria" w:eastAsia="Times New Roman" w:hAnsi="Cambria"/>
                <w:w w:val="84"/>
                <w:sz w:val="18"/>
                <w:szCs w:val="18"/>
                <w:lang w:val="it-IT" w:eastAsia="it-IT"/>
              </w:rPr>
              <w:br/>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bandi e inviti per contratti di lavori sottosoglia comunitaria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66, 124, d.lgs. n. 163/2006</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bandi e inviti per contratti di servizi e forniture sottosoglia comunitaria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 66, d.lgs. n. 163/2006</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bandi e inviti per contratti di lavori soprasoglia comunitaria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 66, d.lgs. n. 163/2006</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bandi e inviti per contratti di servizi e forniture soprasoglia comunitaria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66, 206, d.lgs. n. 163/2006</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Bandi e avvisi per appalti di lavori nei settori speciali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66, 206, d.lgs. n. 163/2006</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Bandi e avvisi per appalti di servizi e forniture nei settori speciali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65, 66, d.lgs. n. 163/2006</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sui risultati della procedura di affidamento</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Avviso sui risultati della procedura di affidamento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37, c. 1, d.lgs. n. 33/2013</w:t>
            </w:r>
            <w:r w:rsidRPr="001E1933">
              <w:rPr>
                <w:rFonts w:ascii="Cambria" w:eastAsia="Times New Roman" w:hAnsi="Cambria"/>
                <w:color w:val="000000"/>
                <w:w w:val="84"/>
                <w:sz w:val="18"/>
                <w:szCs w:val="18"/>
                <w:lang w:val="it-IT" w:eastAsia="it-IT"/>
              </w:rPr>
              <w:br/>
              <w:t>Artt. 66, 223, d.lgs. n. 163/2006</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 xml:space="preserve">Avvisi sistema di qualificazione </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Avvisi periodici indicativi e avvisi sull'esistenza di un sistema di qualificazione - settori speciali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 pubblicare secondo le modalità e le specifiche previste dal d.lgs. n. 163/2006</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3, delib. AVCP n. 26/2013</w:t>
            </w:r>
          </w:p>
        </w:tc>
        <w:tc>
          <w:tcPr>
            <w:tcW w:w="2010" w:type="dxa"/>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sulle singole procedure</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(da pubblicare secondo le "Specifiche tecniche per la pubblicazione dei dati ai sensi dell'art. 1, comma 32, della Legge n. 190/2012", adottate con Comunicato del Presidente dell'AVCP del 22 maggio 2013)</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Codice Identificativo Gara (CIG)</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Struttura proponente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Oggetto del bando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Procedura di scelta del contraente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Elenco degli operatori invitati a presentare offerte/Numero di offerenti che hanno partecipato al procedimento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Aggiudicatario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Importo di aggiudicazione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Tempi di completamento dell'opera servizio o fornitura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Importo delle somme liquidate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32, l. n. 190/2012</w:t>
            </w:r>
            <w:r w:rsidRPr="001E1933">
              <w:rPr>
                <w:rFonts w:ascii="Cambria" w:eastAsia="Times New Roman" w:hAnsi="Cambria"/>
                <w:w w:val="84"/>
                <w:sz w:val="18"/>
                <w:szCs w:val="18"/>
                <w:lang w:val="it-IT" w:eastAsia="it-IT"/>
              </w:rPr>
              <w:br/>
              <w:t>Art. 3, delib. AVCP n. 26/2013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Tabelle riassuntive rese liberamente scaricabili in un formato digitale standard aperto con informazioni sui contratti relative all'anno precedente (nello specifico: Codice Identificativo Gara (CIG), struttura proponente, oggetto del bando, procedura di scelta del contraente, procedura di scelta del contraente, elenco degli operatori invitati a presentare offerte/numero di offerenti che hanno partecipato al procedimento, aggiudicatario, importo di aggiudicazione, tempi di completamento dell'opera servizio o fornitura, importo delle somme liquidate)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 c. 32, l. n. 190/2012)</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Sovvenzioni, contributi, sussidi, vantaggi economici</w:t>
            </w:r>
            <w:r w:rsidRPr="001E1933">
              <w:rPr>
                <w:rFonts w:ascii="Cambria" w:eastAsia="Times New Roman" w:hAnsi="Cambria"/>
                <w:b/>
                <w:bCs/>
                <w:color w:val="000000"/>
                <w:w w:val="84"/>
                <w:sz w:val="18"/>
                <w:szCs w:val="18"/>
                <w:lang w:val="it-IT" w:eastAsia="it-IT"/>
              </w:rPr>
              <w:br/>
            </w:r>
            <w:r w:rsidRPr="001E1933">
              <w:rPr>
                <w:rFonts w:ascii="Cambria" w:eastAsia="Times New Roman" w:hAnsi="Cambria"/>
                <w:b/>
                <w:bCs/>
                <w:color w:val="000000"/>
                <w:w w:val="84"/>
                <w:sz w:val="18"/>
                <w:szCs w:val="18"/>
                <w:lang w:val="it-IT" w:eastAsia="it-IT"/>
              </w:rPr>
              <w:br/>
            </w:r>
            <w:r w:rsidRPr="001E1933">
              <w:rPr>
                <w:rFonts w:ascii="Cambria" w:eastAsia="Times New Roman" w:hAnsi="Cambria"/>
                <w:b/>
                <w:bCs/>
                <w:color w:val="000000"/>
                <w:w w:val="84"/>
                <w:sz w:val="18"/>
                <w:szCs w:val="18"/>
                <w:lang w:val="it-IT" w:eastAsia="it-IT"/>
              </w:rPr>
              <w:br/>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Criteri e modalità</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26,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Criteri e modalità</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con i quali sono determinati i criteri e le modalità cui le amministrazioni devono attenersi per la concessione di sovvenzioni, contributi, sussidi ed ausili finanziari e l'attribuzione di vantaggi economici di qualunque genere a persone ed enti pubblici e privati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di concessione</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26, c. 2, d.lgs. n. 33/2013</w:t>
            </w:r>
          </w:p>
        </w:tc>
        <w:tc>
          <w:tcPr>
            <w:tcW w:w="2010" w:type="dxa"/>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di concessione</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 creando un collegamento con la pagina nella quale sono riportati i dati dei relativi provvedimenti finali)</w:t>
            </w:r>
            <w:r w:rsidR="00B524F5">
              <w:rPr>
                <w:rFonts w:ascii="Cambria" w:eastAsia="Times New Roman" w:hAnsi="Cambria"/>
                <w:w w:val="84"/>
                <w:sz w:val="18"/>
                <w:szCs w:val="18"/>
                <w:lang w:val="it-IT" w:eastAsia="it-IT"/>
              </w:rPr>
              <w:t xml:space="preserve"> </w:t>
            </w:r>
            <w:r w:rsidRPr="001E1933">
              <w:rPr>
                <w:rFonts w:ascii="Cambria" w:eastAsia="Times New Roman" w:hAnsi="Cambria"/>
                <w:color w:val="000000"/>
                <w:w w:val="84"/>
                <w:sz w:val="18"/>
                <w:szCs w:val="18"/>
                <w:lang w:val="it-IT" w:eastAsia="it-IT"/>
              </w:rPr>
              <w:t>(NB: è fatto divieto di diffusione di dati da cui sia possibile ricavare informazioni relative allo stato di salute e alla situazione di disagio economico-sociale degli interessati, come previsto dall'art. 26, c. 4,  del d.lgs. n. 33/2013)</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di concessione di sovvenzioni, contributi, sussidi ed ausili finanziari alle imprese e</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 comunque di  vantaggi economici di qualunque genere a persone ed enti pubblici e privati di importo superiore a mille euro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Per ciascun atto: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a),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nome dell'impresa o dell'ente e i rispettivi dati fiscali o il nome di altro soggetto beneficiario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b),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importo del vantaggio economico corrisposto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c),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norma o titolo a base dell'attribuzione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d),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ufficio e funzionario o dirigente responsabile del relativo procedimento amministrativo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e),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modalità seguita per l'individuazione del beneficiario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f),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6) link al progetto selezionato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1, lett. f),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7) link al curriculum del soggetto incaricato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26, c. 3,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27,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(in formato tabellare aperto) dei soggetti beneficiari degli atti di concessione di sovvenzioni, contributi, sussidi ed ausili finanziari alle imprese e di attribuzione di vantaggi economici di qualunque genere a persone ed enti pubblici e privati di importo superiore a mille euro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27, c. 2,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O</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 d.P.R. n. 118/2000</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Albo dei beneficiari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Al</w:t>
            </w:r>
            <w:r w:rsidR="00B524F5">
              <w:rPr>
                <w:rFonts w:ascii="Cambria" w:eastAsia="Times New Roman" w:hAnsi="Cambria"/>
                <w:color w:val="000000"/>
                <w:w w:val="84"/>
                <w:sz w:val="18"/>
                <w:szCs w:val="18"/>
                <w:lang w:val="it-IT" w:eastAsia="it-IT"/>
              </w:rPr>
              <w:t xml:space="preserve">bo </w:t>
            </w:r>
            <w:r w:rsidRPr="001E1933">
              <w:rPr>
                <w:rFonts w:ascii="Cambria" w:eastAsia="Times New Roman" w:hAnsi="Cambria"/>
                <w:color w:val="000000"/>
                <w:w w:val="84"/>
                <w:sz w:val="18"/>
                <w:szCs w:val="18"/>
                <w:lang w:val="it-IT" w:eastAsia="it-IT"/>
              </w:rPr>
              <w:t>dei  soggetti, ivi comprese le persone  fisiche,  cui  sono  stati  erogati  in  ogni  esercizio  finanziario contributi,  sovvenzioni, crediti,  sussidi  e  benefici  di  natura economica  a  carico  dei  rispettivi  bilanci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Bilanci</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Bilancio preventivo e consuntivo</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29, c. 1, d.lgs. n. 33/2013</w:t>
            </w:r>
            <w:r w:rsidRPr="001E1933">
              <w:rPr>
                <w:rFonts w:ascii="Cambria" w:eastAsia="Times New Roman" w:hAnsi="Cambria"/>
                <w:color w:val="000000"/>
                <w:w w:val="84"/>
                <w:sz w:val="18"/>
                <w:szCs w:val="18"/>
                <w:lang w:val="it-IT" w:eastAsia="it-IT"/>
              </w:rPr>
              <w:br/>
              <w:t>Art. 1, c. 15, l. n. 190/2012</w:t>
            </w:r>
            <w:r w:rsidRPr="001E1933">
              <w:rPr>
                <w:rFonts w:ascii="Cambria" w:eastAsia="Times New Roman" w:hAnsi="Cambria"/>
                <w:color w:val="000000"/>
                <w:w w:val="84"/>
                <w:sz w:val="18"/>
                <w:szCs w:val="18"/>
                <w:lang w:val="it-IT" w:eastAsia="it-IT"/>
              </w:rPr>
              <w:br/>
              <w:t>Art. 32, c. 2, l. n. 69/2009</w:t>
            </w:r>
            <w:r w:rsidRPr="001E1933">
              <w:rPr>
                <w:rFonts w:ascii="Cambria" w:eastAsia="Times New Roman" w:hAnsi="Cambria"/>
                <w:color w:val="000000"/>
                <w:w w:val="84"/>
                <w:sz w:val="18"/>
                <w:szCs w:val="18"/>
                <w:lang w:val="it-IT" w:eastAsia="it-IT"/>
              </w:rPr>
              <w:br/>
              <w:t>Art. 5, c. 1, d.p.c.m. 26 aprile 2011</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Bilancio preventivo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Bilancio di previsione di ciascun anno in forma sintetica, aggregata e semplificata, anche con il ricorso a rappresentazioni grafiche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29, c. 1, d.lgs. n. 33/2013</w:t>
            </w:r>
            <w:r w:rsidRPr="001E1933">
              <w:rPr>
                <w:rFonts w:ascii="Cambria" w:eastAsia="Times New Roman" w:hAnsi="Cambria"/>
                <w:color w:val="000000"/>
                <w:w w:val="84"/>
                <w:sz w:val="18"/>
                <w:szCs w:val="18"/>
                <w:lang w:val="it-IT" w:eastAsia="it-IT"/>
              </w:rPr>
              <w:br/>
              <w:t>Art. 1, c. 15, l. n. 190/2012</w:t>
            </w:r>
            <w:r w:rsidRPr="001E1933">
              <w:rPr>
                <w:rFonts w:ascii="Cambria" w:eastAsia="Times New Roman" w:hAnsi="Cambria"/>
                <w:color w:val="000000"/>
                <w:w w:val="84"/>
                <w:sz w:val="18"/>
                <w:szCs w:val="18"/>
                <w:lang w:val="it-IT" w:eastAsia="it-IT"/>
              </w:rPr>
              <w:br/>
              <w:t>Art. 32, c. 2, l. n. 69/2009</w:t>
            </w:r>
            <w:r w:rsidRPr="001E1933">
              <w:rPr>
                <w:rFonts w:ascii="Cambria" w:eastAsia="Times New Roman" w:hAnsi="Cambria"/>
                <w:color w:val="000000"/>
                <w:w w:val="84"/>
                <w:sz w:val="18"/>
                <w:szCs w:val="18"/>
                <w:lang w:val="it-IT" w:eastAsia="it-IT"/>
              </w:rPr>
              <w:br/>
              <w:t>Art. 5, c. 1, d.p.c.m. 26 aprile 2011</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Bilancio consuntivo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Bilancio consuntivo di ciascun anno in forma sintetica, aggregata e semplificata, anche con il ricorso a rappresentazioni grafiche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degli indicatori e dei risultati attesi di bilancio</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29,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degli indicatori e dei risultati attesi di bilancio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degli indicatori e risultati attesi di bilancio, con l’integrazione delle risultanze osservate in termini di raggiungimento dei risultati attesi e le motivazioni degli eventuali scostamenti e gli aggiornamenti in corrispondenza di ogni nuovo esercizio di bilancio, sia tramite la specificazione di nuovi obiettivi e indicatori, sia attraverso l’aggiornamento dei valori obiettivo e la soppressione di obiettivi già raggiunti oppure oggetto di ripianificazione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Beni immobili e gestione patrimonio</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Patrimonio immobiliare</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30,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Patrimonio immobiliare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Informazioni identificative degli immobili posseduti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Canoni di locazione o affitto</w:t>
            </w: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30,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Canoni di locazione o affitto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Canoni di locazione o di affitto versati o percepiti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Controlli e rilievi sull'amministrazione</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Rilievi organi di controllo e revisione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Rilievi non recepiti, unitamente agli atti cui si riferiscono, degli organi di controllo interno, degli organi di revisione amministrativa e contabile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Rilievi Corte dei conti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Tutti i rilievi ancorchè recepiti, unitamente agli atti cui si riferiscono, della Corte dei conti riguardanti l'organizzazione e l'attività dell'amministrazione o di singoli uffici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Servizi erogati</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Carta dei servizi e standard di qualità</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32,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Carta dei servizi e standard di qualità</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Carta dei servizi o documento contenente gli standard di qualità dei servizi pubblici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Class action</w:t>
            </w:r>
          </w:p>
        </w:tc>
        <w:tc>
          <w:tcPr>
            <w:tcW w:w="0" w:type="auto"/>
            <w:vMerge w:val="restart"/>
            <w:noWrap/>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R</w:t>
            </w: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1, c. 2, d.lgs. n. 198/2009</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Class action</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Notizia del ricorso in giudizio propostodai titolari di interessi giuridicamente rilevanti ed omogenei nei confronti delle amministrazioni e dei concessionari di servizio pubblico al fine di ripristinare il corretto svolgimento della fun</w:t>
            </w:r>
            <w:r w:rsidR="00B524F5">
              <w:rPr>
                <w:rFonts w:ascii="Cambria" w:eastAsia="Times New Roman" w:hAnsi="Cambria"/>
                <w:w w:val="84"/>
                <w:sz w:val="18"/>
                <w:szCs w:val="18"/>
                <w:lang w:val="it-IT" w:eastAsia="it-IT"/>
              </w:rPr>
              <w:t xml:space="preserve">zione o la corretta erogazione di </w:t>
            </w:r>
            <w:r w:rsidRPr="001E1933">
              <w:rPr>
                <w:rFonts w:ascii="Cambria" w:eastAsia="Times New Roman" w:hAnsi="Cambria"/>
                <w:w w:val="84"/>
                <w:sz w:val="18"/>
                <w:szCs w:val="18"/>
                <w:lang w:val="it-IT" w:eastAsia="it-IT"/>
              </w:rPr>
              <w:t>un  servizio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4, c. 2, d.lgs. n. 198/2009</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Sentenza di definizione del giudizio</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Art. 4, c. 6, d.lgs. n. 198/2009</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Misure adottate in ottemperanza alla sentenza</w:t>
            </w:r>
          </w:p>
        </w:tc>
        <w:tc>
          <w:tcPr>
            <w:tcW w:w="0" w:type="auto"/>
            <w:hideMark/>
          </w:tcPr>
          <w:p w:rsidR="001E1933" w:rsidRPr="001E1933" w:rsidRDefault="001E1933" w:rsidP="00B524F5">
            <w:pPr>
              <w:jc w:val="cente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Costi contabilizzati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32, c. 2, lett. a), d.lgs. n. 33/2013</w:t>
            </w:r>
            <w:r w:rsidRPr="001E1933">
              <w:rPr>
                <w:rFonts w:ascii="Cambria" w:eastAsia="Times New Roman" w:hAnsi="Cambria"/>
                <w:color w:val="000000"/>
                <w:w w:val="84"/>
                <w:sz w:val="18"/>
                <w:szCs w:val="18"/>
                <w:lang w:val="it-IT" w:eastAsia="it-IT"/>
              </w:rPr>
              <w:br/>
              <w:t>Art. 1, c. 15, l. n. 190/2012</w:t>
            </w:r>
            <w:r w:rsidRPr="001E1933">
              <w:rPr>
                <w:rFonts w:ascii="Cambria" w:eastAsia="Times New Roman" w:hAnsi="Cambria"/>
                <w:color w:val="000000"/>
                <w:w w:val="84"/>
                <w:sz w:val="18"/>
                <w:szCs w:val="18"/>
                <w:lang w:val="it-IT" w:eastAsia="it-IT"/>
              </w:rPr>
              <w:br/>
              <w:t>Art. 10, c. 5, d.lgs. n. 33/2013</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Costi contabilizzati</w:t>
            </w:r>
            <w:r w:rsidR="00B524F5">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Costi contabilizzati dei servizi erogati agli utenti, sia finali che intermedi, evidenziando quelli effettivamente sostenuti e quelli imputati al personale per ogni servizio erogato e il relativo andamento nel tempo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10, c. 5,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Tempi medi di erogazione dei servizi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32, c. 2, lett. b), d.lgs. n. 33/2013</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Tempi medi di erogazione dei servizi</w:t>
            </w:r>
            <w:r w:rsidR="00B524F5">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Tempi medi di erogazione dei servizi (per ogni servizio erogato) agli utenti, sia finali che intermedi, con riferimento all'esercizio finanziario precedente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10, c. 5,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Liste di attesa</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I</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41, c. 6,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Liste di attesa</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Tempi di attesa previsti e tempi medi effettivi di attesa per ciascuna tipologia di prestazione erogata</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Pagamenti dell'amministrazione</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Indicatore di tempestività dei pagamenti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33,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Indicatore di tempestività dei pagamenti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Indicatore dei tempi medi di pagamento relativi agli acquisti di beni, servizi e forniture (indicatore di tempestività dei pagamenti)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33,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IBAN e pagamenti informatici</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 + M</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36, d.lgs. n. 33/2013</w:t>
            </w:r>
            <w:r w:rsidRPr="001E1933">
              <w:rPr>
                <w:rFonts w:ascii="Cambria" w:eastAsia="Times New Roman" w:hAnsi="Cambria"/>
                <w:color w:val="000000"/>
                <w:w w:val="84"/>
                <w:sz w:val="18"/>
                <w:szCs w:val="18"/>
                <w:lang w:val="it-IT" w:eastAsia="it-IT"/>
              </w:rPr>
              <w:br/>
              <w:t>Art. 5, c. 1, d.lgs. n. 82/2005</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IBAN e pagamenti informatici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Nelle richieste di pagamento:</w:t>
            </w:r>
            <w:r w:rsidRPr="001E1933">
              <w:rPr>
                <w:rFonts w:ascii="Cambria" w:eastAsia="Times New Roman" w:hAnsi="Cambria"/>
                <w:w w:val="84"/>
                <w:sz w:val="18"/>
                <w:szCs w:val="18"/>
                <w:lang w:val="it-IT" w:eastAsia="it-IT"/>
              </w:rPr>
              <w:t xml:space="preserve"> i codici IBAN identificativi del conto di pagamento, ovvero di imputazio</w:t>
            </w:r>
            <w:r w:rsidR="00B524F5">
              <w:rPr>
                <w:rFonts w:ascii="Cambria" w:eastAsia="Times New Roman" w:hAnsi="Cambria"/>
                <w:w w:val="84"/>
                <w:sz w:val="18"/>
                <w:szCs w:val="18"/>
                <w:lang w:val="it-IT" w:eastAsia="it-IT"/>
              </w:rPr>
              <w:t>ne del versamento in Tesoreria,</w:t>
            </w:r>
            <w:r w:rsidRPr="001E1933">
              <w:rPr>
                <w:rFonts w:ascii="Cambria" w:eastAsia="Times New Roman" w:hAnsi="Cambria"/>
                <w:w w:val="84"/>
                <w:sz w:val="18"/>
                <w:szCs w:val="18"/>
                <w:lang w:val="it-IT" w:eastAsia="it-IT"/>
              </w:rPr>
              <w:t xml:space="preserve"> tramite i quali i soggetti versanti possono effettuare i pagamenti mediante bonifico bancario o postale, ovvero gli identificativi del conto corrente postale sul quale i soggetti versanti possono effettuare i pagamenti mediante bollettino postale, nonchè i codici identificativi del pagamento da indicare obbligatoriamente per il versamento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Opere pubbliche</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 xml:space="preserve">A </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Documenti di programmazione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Documenti di programmazione, anche pluriennale, delle opere pubbliche di competenza dell'amministrazione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Linee guida per la valutazione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Linee guida per la valutazione degli investimenti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Relazioni annuali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Relazioni annuali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Altri documenti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Ogni altro documento predisposto nell'ambito della valutazione, ivi inclusi i pareri dei valutatori che si discostino dalle scelte delle amministrazioni e gli esiti delle valutazioni ex post che si discostino dalle valutazioni ex ante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Nuclei di valutazione e </w:t>
            </w:r>
            <w:r w:rsidR="00B524F5">
              <w:rPr>
                <w:rFonts w:ascii="Cambria" w:eastAsia="Times New Roman" w:hAnsi="Cambria"/>
                <w:color w:val="000000"/>
                <w:w w:val="84"/>
                <w:sz w:val="18"/>
                <w:szCs w:val="18"/>
                <w:lang w:val="it-IT" w:eastAsia="it-IT"/>
              </w:rPr>
              <w:t>V</w:t>
            </w:r>
            <w:r w:rsidRPr="001E1933">
              <w:rPr>
                <w:rFonts w:ascii="Cambria" w:eastAsia="Times New Roman" w:hAnsi="Cambria"/>
                <w:color w:val="000000"/>
                <w:w w:val="84"/>
                <w:sz w:val="18"/>
                <w:szCs w:val="18"/>
                <w:lang w:val="it-IT" w:eastAsia="it-IT"/>
              </w:rPr>
              <w:t>erifica</w:t>
            </w:r>
            <w:r w:rsidRPr="001E1933">
              <w:rPr>
                <w:rFonts w:ascii="Cambria" w:eastAsia="Times New Roman" w:hAnsi="Cambria"/>
                <w:color w:val="000000"/>
                <w:w w:val="84"/>
                <w:sz w:val="18"/>
                <w:szCs w:val="18"/>
                <w:lang w:val="it-IT" w:eastAsia="it-IT"/>
              </w:rPr>
              <w:br/>
              <w:t>degli investimenti pubblici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(art. 1, l. n. 144/1999) </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relative ai Nuclei di valutazione e verifica degli investimenti pubblici, incluse le funzioni e i compiti specifici ad essi attribuiti, le procedure e i criteri di individuazione dei componenti e i loro nominativi (obbligo previsto per le amministrazioni centrali e regionali)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2,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Tempi e costi di realizzazione</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relative ai tempi e agli indicatori di realizzazione delle opere pubbliche completate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38, c. 2,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relative ai costi unitari di realizzazione delle opere pubbliche completate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38,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Pianificazione e governo del territorio</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 xml:space="preserve">A </w:t>
            </w:r>
            <w:r w:rsidRPr="001E1933">
              <w:rPr>
                <w:rFonts w:ascii="Cambria" w:eastAsia="Times New Roman" w:hAnsi="Cambria"/>
                <w:w w:val="84"/>
                <w:sz w:val="18"/>
                <w:szCs w:val="18"/>
                <w:lang w:val="it-IT" w:eastAsia="it-IT"/>
              </w:rPr>
              <w:t>(compatibilmente con le competenze in materia)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39, c. 1, lett. a), d.lgs. n. 33/2013</w:t>
            </w:r>
          </w:p>
        </w:tc>
        <w:tc>
          <w:tcPr>
            <w:tcW w:w="2010" w:type="dxa"/>
            <w:vMerge w:val="restart"/>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Pianificazione e governo del territorio</w:t>
            </w:r>
            <w:r w:rsidR="00B524F5">
              <w:rPr>
                <w:rFonts w:ascii="Cambria" w:eastAsia="Times New Roman" w:hAnsi="Cambria"/>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di governo del territorio quali, tra gli altri, piani territoriali, piani di coordinamento, piani paesistici, strumenti urbanistici, generali e di attuazione, nonché le loro varianti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39,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39, c. 1, lett. b),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 Per ciascuno degli atti: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schemi di provvedimento prima che siano portati all'approvazione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39,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delibere di adozione o approvazione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39,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relativi allegati tecnici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(art. 39, c. 1,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F</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39, c. 2, d.lgs. n. 33/2013</w:t>
            </w:r>
          </w:p>
        </w:tc>
        <w:tc>
          <w:tcPr>
            <w:tcW w:w="2010" w:type="dxa"/>
            <w:vMerge/>
            <w:hideMark/>
          </w:tcPr>
          <w:p w:rsidR="001E1933" w:rsidRPr="001E1933" w:rsidRDefault="001E1933" w:rsidP="00B524F5">
            <w:pPr>
              <w:rPr>
                <w:rFonts w:ascii="Cambria" w:eastAsia="Times New Roman" w:hAnsi="Cambria"/>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Documentazione relativa a ciascun procedimento di presentazione e approvazione delle proposte di trasformazione urbanistica di iniziativa privata o pubblica in variante allo strumento urbanistico generale comunque denominato vigente nonché delle proposte di trasformazione urbanistica di iniziativa privata o pubblica in attuazione dello strumento urbanistico generale vigente che comportino premialità edificatorie a fronte dell'impegno dei privati alla realizzazione di opere di urbanizzazione extra oneri o della cessione di aree o volumetrie per finalità di pubblico interesse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Informazioni ambientali</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G</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40, c. 2,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ambientali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Informazioni ambientali che le amministrazioni detengono ai fini delle proprie attività istituzionali: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Stato dell'ambiente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1) Stato degli elementi dell'ambiente, quali l'aria, l'atmosfera, l'acqua, il suolo, il territorio, i siti naturali, compresi gli igrotopi, le zone costiere e marine, la diversità biologica ed i suoi elementi costitutivi, compresi gli organismi geneticamente modificati, e, inoltre, le interazioni tra questi elementi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Fattori inquinanti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2) Fattori quali le sostanze, l'energia, il rumore, le radiazioni od i rifiuti, anche quelli radioattivi, le emissioni, gli scarichi ed altri rilasci nell'ambiente, che incidono o possono incidere sugli elementi dell'ambiente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Misure incidenti sull'ambiente e relative analisi di impatto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3) Misure, anche amministrative, quali le politiche, le disposizioni legislative, i piani, i programmi, gli accordi ambientali e ogni altro atto, anche di natura amministrativa, nonché le attività che incidono o possono incidere sugli elementi e sui fattori dell'ambiente ed analisi costi-benefìci ed altre analisi ed ipotesi economiche usate nell'àmbito delle stesse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Misure a protezione dell'ambiente e relative analisi di impatto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4) Misure o attività finalizzate a proteggere i suddetti elementi ed analisi costi-benefìci ed altre analisi ed ipotesi economiche usate nell'àmbito delle stesse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Relazioni sull'attuazione della legislazione </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5) Relazioni sull'attuazione della legislazione ambientale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Stato della salute e della sicurezza umana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6) Stato della salute e della sicurezza umana, compresa la contaminazione della catena alimentare, le condizioni della vita umana, il paesaggio, i siti e gli edifici d'interesse culturale, per quanto influenzabili dallo stato degli elementi dell'ambiente, attraverso tali elementi, da qualsiasi fattore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sullo stato dell'ambiente del Ministero dell'Ambiente e della tutela del territorio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 Relazione sullo stato dell'ambiente redatta dal Ministero dell'Ambiente e della tutela del territorio </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Strutture sanitarie private accreditate</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D</w:t>
            </w:r>
          </w:p>
        </w:tc>
        <w:tc>
          <w:tcPr>
            <w:tcW w:w="0" w:type="auto"/>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41, c. 4,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Strutture sanitarie private accreditate</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delle strutture sanitarie private accreditate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41, c. 4,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Accordi intercorsi con le strutture private accreditate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(art. 41, c. 4,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Interventi straordinari e di emergenza</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42, c. 1, lett. a),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Interventi straordinari e di emergenza</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w w:val="84"/>
                <w:sz w:val="18"/>
                <w:szCs w:val="18"/>
                <w:lang w:val="it-IT" w:eastAsia="it-IT"/>
              </w:rPr>
              <w:t>(da pubblicare in tabelle)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Provvedimenti adottati concernenti gli interventi straordinari e di emergenza che comportano deroghe alla legislazione vigente, con l'indicazione espressa delle norme di legge eventualmente derogate e dei motivi della deroga, nonché con l'indicazione di eventuali atti amministrativi o giurisdizionali intervenuti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42, c. 1, lett. b),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Termini temporali eventualmente fissati per l'esercizio dei poteri di adozione dei provvedimenti straordinari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42, c. 1, lett. c),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Costo previsto degli interventi e costo effettivo sostenuto dall'amministrazione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42, c. 1, lett. d),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Particolari forme di partecipazione degli interessati ai procedimenti di adozione dei provvedimenti straordinari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Tempestivo </w:t>
            </w:r>
            <w:r w:rsidRPr="001E1933">
              <w:rPr>
                <w:rFonts w:ascii="Cambria" w:eastAsia="Times New Roman" w:hAnsi="Cambria"/>
                <w:color w:val="000000"/>
                <w:w w:val="84"/>
                <w:sz w:val="18"/>
                <w:szCs w:val="18"/>
                <w:lang w:val="it-IT" w:eastAsia="it-IT"/>
              </w:rPr>
              <w:br/>
              <w:t>(ex art. 8, d.lgs. n. 33/2013)</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Altri contenuti - Corruzione</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triennale di prevenzione della corruzione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Piano triennale di prevenzione della corruzione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43, c. 1, d.lgs. n. 33/2013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Responsabile della prevenzione della corruzione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Responsabile della prevenzione della corruzione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delib. CiVIT n. 105/2010 e 2/2012 </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Responsabile della trasparenza</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Responsabil</w:t>
            </w:r>
            <w:r w:rsidR="00B524F5">
              <w:rPr>
                <w:rFonts w:ascii="Cambria" w:eastAsia="Times New Roman" w:hAnsi="Cambria"/>
                <w:color w:val="000000"/>
                <w:w w:val="84"/>
                <w:sz w:val="18"/>
                <w:szCs w:val="18"/>
                <w:lang w:val="it-IT" w:eastAsia="it-IT"/>
              </w:rPr>
              <w:t>e della trasparenza (laddove di</w:t>
            </w:r>
            <w:r w:rsidRPr="001E1933">
              <w:rPr>
                <w:rFonts w:ascii="Cambria" w:eastAsia="Times New Roman" w:hAnsi="Cambria"/>
                <w:color w:val="000000"/>
                <w:w w:val="84"/>
                <w:sz w:val="18"/>
                <w:szCs w:val="18"/>
                <w:lang w:val="it-IT" w:eastAsia="it-IT"/>
              </w:rPr>
              <w:t>verso dal Responsabile della prevenzione della corruzione)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Regolamenti per la prevenzione e la repressione della corruzione e dell'illegalità</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Regolamenti per la prevenzione e la repressione della corruzione e dell'illegalità (laddove adottati)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 c. 14, l. n. 190/2012</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del responsabile della corruzione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Relazione del responsabile della prevenzione della corruzione recante i risultati dell’attività svolta (entro il 15 dicembre di ogni anno)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(ex art. 1, c. 14, L. n. 190/2012)</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 c. 3, l. n. 190/2012</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di adeguamento a provvedimenti CiVIT</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adottati in ottemperanza a provvedimenti della CiVIT in materia di vigilanza e controllo nell'anticorruzione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P</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18, c. 5, d.lgs. n. 39/2013</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Atti di accertamento delle violazioni </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Atti di accertamento delle</w:t>
            </w:r>
            <w:r w:rsidR="00B524F5">
              <w:rPr>
                <w:rFonts w:ascii="Cambria" w:eastAsia="Times New Roman" w:hAnsi="Cambria"/>
                <w:color w:val="000000"/>
                <w:w w:val="84"/>
                <w:sz w:val="18"/>
                <w:szCs w:val="18"/>
                <w:lang w:val="it-IT" w:eastAsia="it-IT"/>
              </w:rPr>
              <w:t xml:space="preserve"> violazioni delle disposizioni </w:t>
            </w:r>
            <w:r w:rsidRPr="001E1933">
              <w:rPr>
                <w:rFonts w:ascii="Cambria" w:eastAsia="Times New Roman" w:hAnsi="Cambria"/>
                <w:color w:val="000000"/>
                <w:w w:val="84"/>
                <w:sz w:val="18"/>
                <w:szCs w:val="18"/>
                <w:lang w:val="it-IT" w:eastAsia="it-IT"/>
              </w:rPr>
              <w:t>di cui al d.lgs. n. 39/2013</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Altri contenuti - Accesso civico</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5, c. 1, d.lgs. n. 33/2013</w:t>
            </w:r>
          </w:p>
        </w:tc>
        <w:tc>
          <w:tcPr>
            <w:tcW w:w="2010" w:type="dxa"/>
            <w:vMerge w:val="restart"/>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Accesso civico</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Nome del Responsabile della trasparenza cui è presentata la richiesta di accesso civico, nonchè modalità per l'esercizio di tale diritto, con indicazione dei recapiti telefonici e delle caselle di posta elettronica istituzionale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5, c. 4, d.lgs. n. 33/2013</w:t>
            </w:r>
          </w:p>
        </w:tc>
        <w:tc>
          <w:tcPr>
            <w:tcW w:w="2010" w:type="dxa"/>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Nome del titolare del potere sostitutivo, attivabile nei casi di ritardo o mancata risposta, con indicazione dei recapiti telefonici e delle caselle di posta elettronica istituzionale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Tempestivo</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val="restart"/>
            <w:hideMark/>
          </w:tcPr>
          <w:p w:rsidR="001E1933" w:rsidRPr="001E1933" w:rsidRDefault="001E1933" w:rsidP="00B524F5">
            <w:pPr>
              <w:jc w:val="center"/>
              <w:rPr>
                <w:rFonts w:ascii="Cambria" w:eastAsia="Times New Roman" w:hAnsi="Cambria"/>
                <w:b/>
                <w:bCs/>
                <w:w w:val="84"/>
                <w:sz w:val="18"/>
                <w:szCs w:val="18"/>
                <w:lang w:val="it-IT" w:eastAsia="it-IT"/>
              </w:rPr>
            </w:pPr>
            <w:r w:rsidRPr="001E1933">
              <w:rPr>
                <w:rFonts w:ascii="Cambria" w:eastAsia="Times New Roman" w:hAnsi="Cambria"/>
                <w:b/>
                <w:bCs/>
                <w:w w:val="84"/>
                <w:sz w:val="18"/>
                <w:szCs w:val="18"/>
                <w:lang w:val="it-IT" w:eastAsia="it-IT"/>
              </w:rPr>
              <w:t>Altri contenuti - Accessibilità e Catalogo di dati, metadati e banche dati</w:t>
            </w:r>
          </w:p>
        </w:tc>
        <w:tc>
          <w:tcPr>
            <w:tcW w:w="0" w:type="auto"/>
            <w:vMerge w:val="restart"/>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vMerge w:val="restart"/>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52, c. 1, d.lgs. 82/2005</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Regolamenti</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Regolamenti che disciplinano l'esercizio della facoltà di accesso telematico e il riutilizzo dei dati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52, c. 1, d.lgs. 82/2005</w:t>
            </w:r>
          </w:p>
        </w:tc>
        <w:tc>
          <w:tcPr>
            <w:tcW w:w="2010"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Catalogo di dati, metadati e banche dati</w:t>
            </w:r>
          </w:p>
        </w:tc>
        <w:tc>
          <w:tcPr>
            <w:tcW w:w="3512" w:type="dxa"/>
            <w:hideMark/>
          </w:tcPr>
          <w:p w:rsidR="001E1933" w:rsidRPr="001E1933" w:rsidRDefault="001E1933" w:rsidP="00B524F5">
            <w:pPr>
              <w:rPr>
                <w:rFonts w:ascii="Cambria" w:eastAsia="Times New Roman" w:hAnsi="Cambria"/>
                <w:w w:val="84"/>
                <w:sz w:val="18"/>
                <w:szCs w:val="18"/>
                <w:lang w:val="it-IT" w:eastAsia="it-IT"/>
              </w:rPr>
            </w:pPr>
            <w:r w:rsidRPr="001E1933">
              <w:rPr>
                <w:rFonts w:ascii="Cambria" w:eastAsia="Times New Roman" w:hAnsi="Cambria"/>
                <w:w w:val="84"/>
                <w:sz w:val="18"/>
                <w:szCs w:val="18"/>
                <w:lang w:val="it-IT" w:eastAsia="it-IT"/>
              </w:rPr>
              <w:t>Catalogo dei dati, dei metadati e delle relative banche dati in possesso delle amministrazioni</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vMerge/>
            <w:hideMark/>
          </w:tcPr>
          <w:p w:rsidR="001E1933" w:rsidRPr="001E1933" w:rsidRDefault="001E1933" w:rsidP="00B524F5">
            <w:pPr>
              <w:rPr>
                <w:rFonts w:ascii="Cambria" w:eastAsia="Times New Roman" w:hAnsi="Cambria"/>
                <w:b/>
                <w:bCs/>
                <w:color w:val="000000"/>
                <w:w w:val="84"/>
                <w:sz w:val="18"/>
                <w:szCs w:val="18"/>
                <w:lang w:val="it-IT" w:eastAsia="it-IT"/>
              </w:rPr>
            </w:pP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9, c. 7, d.l. n. 179/2012</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Obiettivi di accessibilità</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 xml:space="preserve">(da pubblicare secondo le indicazioni contenute nella circolare dell'Agenzia per l'Italia digitale n. 61/2013) </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Obiettivi di accessibilità dei soggetti disabili agli strumenti informatici per l'anno corrente (entro il 31 marzo di ogni anno)</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xml:space="preserve">Annuale </w:t>
            </w:r>
            <w:r w:rsidRPr="001E1933">
              <w:rPr>
                <w:rFonts w:ascii="Cambria" w:eastAsia="Times New Roman" w:hAnsi="Cambria"/>
                <w:color w:val="000000"/>
                <w:w w:val="84"/>
                <w:sz w:val="18"/>
                <w:szCs w:val="18"/>
                <w:lang w:val="it-IT" w:eastAsia="it-IT"/>
              </w:rPr>
              <w:br/>
              <w:t>(ex art. 9, c. 7, D.L. n. 179/2012)</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vMerge/>
            <w:hideMark/>
          </w:tcPr>
          <w:p w:rsidR="001E1933" w:rsidRPr="001E1933" w:rsidRDefault="001E1933" w:rsidP="00B524F5">
            <w:pPr>
              <w:rPr>
                <w:rFonts w:ascii="Cambria" w:eastAsia="Times New Roman" w:hAnsi="Cambria"/>
                <w:b/>
                <w:bCs/>
                <w:w w:val="84"/>
                <w:sz w:val="18"/>
                <w:szCs w:val="18"/>
                <w:lang w:val="it-IT" w:eastAsia="it-IT"/>
              </w:rPr>
            </w:pPr>
          </w:p>
        </w:tc>
        <w:tc>
          <w:tcPr>
            <w:tcW w:w="0" w:type="auto"/>
            <w:vMerge/>
            <w:hideMark/>
          </w:tcPr>
          <w:p w:rsidR="001E1933" w:rsidRPr="001E1933" w:rsidRDefault="001E1933" w:rsidP="00B524F5">
            <w:pPr>
              <w:rPr>
                <w:rFonts w:ascii="Cambria" w:eastAsia="Times New Roman" w:hAnsi="Cambria"/>
                <w:color w:val="000000"/>
                <w:w w:val="84"/>
                <w:sz w:val="18"/>
                <w:szCs w:val="18"/>
                <w:lang w:val="it-IT" w:eastAsia="it-IT"/>
              </w:rPr>
            </w:pP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M</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63, cc. 3-bis e 3-quater, d.lgs. n. 82/2005</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Provvedimenti per uso dei servizi in rete</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Elenco dei provvedimenti adottati per consentire l'utilizzo di servizi in rete, anche a  mezzo di intermediari abilitati, per la presentazione telematica da parte di cittadini e imprese di denunce, istanze e atti e garanzie fideiussorie, per l'esecuzione di versamenti fiscali, contributivi, previdenziali, assistenziali e assicurativi, per la richiesta di attestazioni e certificazioni, nonchè dei termini e modalità di utilizzo dei servizi e dei canali telematici e della posta elettronica (l'obbligo di pubblicazione dovrà essere adempiuto almeno 60 giorni prima della data del 1 gennaio 2014, ossia entro il 1 novembre 2013)</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Annuale</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r w:rsidR="001E1933" w:rsidRPr="001E1933" w:rsidTr="00B524F5">
        <w:tc>
          <w:tcPr>
            <w:tcW w:w="0" w:type="auto"/>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Altri contenuti - Dati ulteriori</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0" w:type="auto"/>
            <w:noWrap/>
            <w:hideMark/>
          </w:tcPr>
          <w:p w:rsidR="001E1933" w:rsidRPr="001E1933" w:rsidRDefault="001E1933" w:rsidP="00B524F5">
            <w:pPr>
              <w:jc w:val="center"/>
              <w:rPr>
                <w:rFonts w:ascii="Cambria" w:eastAsia="Times New Roman" w:hAnsi="Cambria"/>
                <w:b/>
                <w:bCs/>
                <w:color w:val="000000"/>
                <w:w w:val="84"/>
                <w:sz w:val="18"/>
                <w:szCs w:val="18"/>
                <w:lang w:val="it-IT" w:eastAsia="it-IT"/>
              </w:rPr>
            </w:pPr>
            <w:r w:rsidRPr="001E1933">
              <w:rPr>
                <w:rFonts w:ascii="Cambria" w:eastAsia="Times New Roman" w:hAnsi="Cambria"/>
                <w:b/>
                <w:bCs/>
                <w:color w:val="000000"/>
                <w:w w:val="84"/>
                <w:sz w:val="18"/>
                <w:szCs w:val="18"/>
                <w:lang w:val="it-IT" w:eastAsia="it-IT"/>
              </w:rPr>
              <w:t>B</w:t>
            </w:r>
          </w:p>
        </w:tc>
        <w:tc>
          <w:tcPr>
            <w:tcW w:w="0" w:type="auto"/>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Art. 4, c. 3, d.lgs. n. 33/2013</w:t>
            </w:r>
            <w:r w:rsidRPr="001E1933">
              <w:rPr>
                <w:rFonts w:ascii="Cambria" w:eastAsia="Times New Roman" w:hAnsi="Cambria"/>
                <w:color w:val="000000"/>
                <w:w w:val="84"/>
                <w:sz w:val="18"/>
                <w:szCs w:val="18"/>
                <w:lang w:val="it-IT" w:eastAsia="it-IT"/>
              </w:rPr>
              <w:br/>
              <w:t>Art. 1, c. 9, lett. f), l. n. 190/2012</w:t>
            </w:r>
          </w:p>
        </w:tc>
        <w:tc>
          <w:tcPr>
            <w:tcW w:w="2010"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ulteriori</w:t>
            </w:r>
            <w:r w:rsidR="00B524F5">
              <w:rPr>
                <w:rFonts w:ascii="Cambria" w:eastAsia="Times New Roman" w:hAnsi="Cambria"/>
                <w:color w:val="000000"/>
                <w:w w:val="84"/>
                <w:sz w:val="18"/>
                <w:szCs w:val="18"/>
                <w:lang w:val="it-IT" w:eastAsia="it-IT"/>
              </w:rPr>
              <w:t xml:space="preserve"> </w:t>
            </w:r>
            <w:r w:rsidRPr="001E1933">
              <w:rPr>
                <w:rFonts w:ascii="Cambria" w:eastAsia="Times New Roman" w:hAnsi="Cambria"/>
                <w:color w:val="000000"/>
                <w:w w:val="84"/>
                <w:sz w:val="18"/>
                <w:szCs w:val="18"/>
                <w:lang w:val="it-IT" w:eastAsia="it-IT"/>
              </w:rPr>
              <w:t>(NB: nel caso di pubblicazione di dati non previsti da norme di legge si deve procedere alla anonimizzazione dei dati personali eventualmente presenti, in virtù di quanto disposto dall'art. 4, c. 3, del d.lgs. n. 33/2013)</w:t>
            </w:r>
          </w:p>
        </w:tc>
        <w:tc>
          <w:tcPr>
            <w:tcW w:w="3512" w:type="dxa"/>
            <w:hideMark/>
          </w:tcPr>
          <w:p w:rsidR="001E1933" w:rsidRPr="001E1933" w:rsidRDefault="001E1933" w:rsidP="00B524F5">
            <w:pP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Dati, informazioni e documenti ulteriori che le pubbliche amministrazioni non hanno l'obbligo di pubblicare ai sensi della normativa vigente e che non sono riconducibili alle sottosezioni indicate</w:t>
            </w:r>
          </w:p>
        </w:tc>
        <w:tc>
          <w:tcPr>
            <w:tcW w:w="0" w:type="auto"/>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c>
          <w:tcPr>
            <w:tcW w:w="1631" w:type="dxa"/>
            <w:shd w:val="clear" w:color="auto" w:fill="E2EFD9" w:themeFill="accent6" w:themeFillTint="33"/>
            <w:noWrap/>
            <w:hideMark/>
          </w:tcPr>
          <w:p w:rsidR="001E1933" w:rsidRPr="001E1933" w:rsidRDefault="001E1933" w:rsidP="00B524F5">
            <w:pPr>
              <w:jc w:val="center"/>
              <w:rPr>
                <w:rFonts w:ascii="Cambria" w:eastAsia="Times New Roman" w:hAnsi="Cambria"/>
                <w:color w:val="000000"/>
                <w:w w:val="84"/>
                <w:sz w:val="18"/>
                <w:szCs w:val="18"/>
                <w:lang w:val="it-IT" w:eastAsia="it-IT"/>
              </w:rPr>
            </w:pPr>
            <w:r w:rsidRPr="001E1933">
              <w:rPr>
                <w:rFonts w:ascii="Cambria" w:eastAsia="Times New Roman" w:hAnsi="Cambria"/>
                <w:color w:val="000000"/>
                <w:w w:val="84"/>
                <w:sz w:val="18"/>
                <w:szCs w:val="18"/>
                <w:lang w:val="it-IT" w:eastAsia="it-IT"/>
              </w:rPr>
              <w:t> </w:t>
            </w:r>
          </w:p>
        </w:tc>
      </w:tr>
    </w:tbl>
    <w:p w:rsidR="00582444" w:rsidRDefault="00582444" w:rsidP="001E1933">
      <w:pPr>
        <w:pStyle w:val="Titolo1"/>
        <w:numPr>
          <w:ilvl w:val="0"/>
          <w:numId w:val="0"/>
        </w:numPr>
      </w:pPr>
    </w:p>
    <w:sectPr w:rsidR="00582444" w:rsidSect="001E1933">
      <w:pgSz w:w="16843" w:h="11904" w:orient="landscape" w:code="9"/>
      <w:pgMar w:top="1701" w:right="851" w:bottom="1701" w:left="1134" w:header="720" w:footer="720" w:gutter="0"/>
      <w:pgBorders w:offsetFrom="page">
        <w:top w:val="single" w:sz="2" w:space="24" w:color="C00000"/>
        <w:left w:val="single" w:sz="2" w:space="24" w:color="C00000"/>
        <w:bottom w:val="single" w:sz="2" w:space="24" w:color="C00000"/>
        <w:right w:val="single" w:sz="2" w:space="24" w:color="C00000"/>
      </w:pgBorders>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855" w:rsidRDefault="00B25855" w:rsidP="00946F98">
      <w:r>
        <w:separator/>
      </w:r>
    </w:p>
  </w:endnote>
  <w:endnote w:type="continuationSeparator" w:id="0">
    <w:p w:rsidR="00B25855" w:rsidRDefault="00B25855" w:rsidP="0094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Aharoni">
    <w:charset w:val="00"/>
    <w:pitch w:val="variable"/>
    <w:family w:val="swiss"/>
    <w:panose1 w:val="02020603050405020304"/>
  </w:font>
  <w:font w:name="Times New Roman">
    <w:charset w:val="00"/>
    <w:pitch w:val="variable"/>
    <w:family w:val="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855" w:rsidRDefault="00B25855" w:rsidP="00946F98">
      <w:r>
        <w:separator/>
      </w:r>
    </w:p>
  </w:footnote>
  <w:footnote w:type="continuationSeparator" w:id="0">
    <w:p w:rsidR="00B25855" w:rsidRDefault="00B25855" w:rsidP="00946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5274178"/>
      <w:docPartObj>
        <w:docPartGallery w:val="Page Numbers (Margins)"/>
        <w:docPartUnique/>
      </w:docPartObj>
    </w:sdtPr>
    <w:sdtEndPr/>
    <w:sdtContent>
      <w:p w:rsidR="00B524F5" w:rsidRDefault="00B524F5">
        <w:pPr>
          <w:pStyle w:val="Intestazione"/>
        </w:pPr>
        <w:r>
          <w:rPr>
            <w:noProof/>
            <w:lang w:val="it-IT" w:eastAsia="it-IT"/>
          </w:rPr>
          <mc:AlternateContent>
            <mc:Choice Requires="wpg">
              <w:drawing>
                <wp:anchor distT="0" distB="0" distL="114300" distR="114300" simplePos="0" relativeHeight="251661312" behindDoc="0" locked="0" layoutInCell="0" allowOverlap="1">
                  <wp:simplePos x="0" y="0"/>
                  <wp:positionH relativeFrom="rightMargin">
                    <wp:align>center</wp:align>
                  </wp:positionH>
                  <mc:AlternateContent>
                    <mc:Choice Requires="wp14">
                      <wp:positionV relativeFrom="page">
                        <wp14:pctPosVOffset>20000</wp14:pctPosVOffset>
                      </wp:positionV>
                    </mc:Choice>
                    <mc:Fallback>
                      <wp:positionV relativeFrom="page">
                        <wp:posOffset>2138680</wp:posOffset>
                      </wp:positionV>
                    </mc:Fallback>
                  </mc:AlternateContent>
                  <wp:extent cx="488315" cy="237490"/>
                  <wp:effectExtent l="0" t="9525" r="0" b="10160"/>
                  <wp:wrapNone/>
                  <wp:docPr id="7" name="Grup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8"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24F5" w:rsidRDefault="00B524F5">
                                <w:pPr>
                                  <w:pStyle w:val="Intestazione"/>
                                  <w:jc w:val="center"/>
                                </w:pPr>
                                <w:r>
                                  <w:fldChar w:fldCharType="begin"/>
                                </w:r>
                                <w:r>
                                  <w:instrText>PAGE    \* MERGEFORMAT</w:instrText>
                                </w:r>
                                <w:r>
                                  <w:fldChar w:fldCharType="separate"/>
                                </w:r>
                                <w:r w:rsidR="00EE4905" w:rsidRPr="00EE4905">
                                  <w:rPr>
                                    <w:rStyle w:val="Numeropagina"/>
                                    <w:b/>
                                    <w:bCs/>
                                    <w:noProof/>
                                    <w:color w:val="7F5F00" w:themeColor="accent4" w:themeShade="7F"/>
                                    <w:sz w:val="16"/>
                                    <w:szCs w:val="16"/>
                                  </w:rPr>
                                  <w:t>3</w:t>
                                </w:r>
                                <w:r>
                                  <w:rPr>
                                    <w:rStyle w:val="Numeropagina"/>
                                    <w:b/>
                                    <w:bCs/>
                                    <w:color w:val="7F5F00" w:themeColor="accent4" w:themeShade="7F"/>
                                    <w:sz w:val="16"/>
                                    <w:szCs w:val="16"/>
                                  </w:rPr>
                                  <w:fldChar w:fldCharType="end"/>
                                </w:r>
                              </w:p>
                            </w:txbxContent>
                          </wps:txbx>
                          <wps:bodyPr rot="0" vert="horz" wrap="square" lIns="0" tIns="0" rIns="0" bIns="0" anchor="ctr" anchorCtr="0" upright="1">
                            <a:noAutofit/>
                          </wps:bodyPr>
                        </wps:wsp>
                        <wpg:grpSp>
                          <wpg:cNvPr id="9" name="Group 72"/>
                          <wpg:cNvGrpSpPr>
                            <a:grpSpLocks/>
                          </wpg:cNvGrpSpPr>
                          <wpg:grpSpPr bwMode="auto">
                            <a:xfrm>
                              <a:off x="886" y="3255"/>
                              <a:ext cx="374" cy="374"/>
                              <a:chOff x="1453" y="14832"/>
                              <a:chExt cx="374" cy="374"/>
                            </a:xfrm>
                          </wpg:grpSpPr>
                          <wps:wsp>
                            <wps:cNvPr id="10"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uppo 7"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rsidR="00B524F5" w:rsidRDefault="00B524F5">
                          <w:pPr>
                            <w:pStyle w:val="Intestazione"/>
                            <w:jc w:val="center"/>
                          </w:pPr>
                          <w:r>
                            <w:fldChar w:fldCharType="begin"/>
                          </w:r>
                          <w:r>
                            <w:instrText>PAGE    \* MERGEFORMAT</w:instrText>
                          </w:r>
                          <w:r>
                            <w:fldChar w:fldCharType="separate"/>
                          </w:r>
                          <w:r w:rsidR="00EE4905" w:rsidRPr="00EE4905">
                            <w:rPr>
                              <w:rStyle w:val="Numeropagina"/>
                              <w:b/>
                              <w:bCs/>
                              <w:noProof/>
                              <w:color w:val="7F5F00" w:themeColor="accent4" w:themeShade="7F"/>
                              <w:sz w:val="16"/>
                              <w:szCs w:val="16"/>
                            </w:rPr>
                            <w:t>3</w:t>
                          </w:r>
                          <w:r>
                            <w:rPr>
                              <w:rStyle w:val="Numeropagina"/>
                              <w:b/>
                              <w:bCs/>
                              <w:color w:val="7F5F00" w:themeColor="accent4" w:themeShade="7F"/>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wgfsEA&#10;AADbAAAADwAAAGRycy9kb3ducmV2LnhtbESPMYsCMRCF+wP/QxjB5tDsWZyyGkUEwcZCz8Jy2Iyb&#10;xc1kSaLu/XunEOzmMe9782a57n2rHhRTE9jAz6QARVwF23Bt4Py3G89BpYxssQ1MBv4pwXo1+Fpi&#10;acOTj/Q45VpJCKcSDbicu1LrVDnymCahI5bdNUSPWWSstY34lHDf6mlR/GqPDcsFhx1tHVW3091L&#10;jUsK6bKv7jg7T933vI/1Ic6MGQ37zQJUpj5/zG96b4WT9vKLDK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MIH7BAAAA2wAAAA8AAAAAAAAAAAAAAAAAmAIAAGRycy9kb3du&#10;cmV2LnhtbFBLBQYAAAAABAAEAPUAAACGAw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6ObwA&#10;AADbAAAADwAAAGRycy9kb3ducmV2LnhtbERPvQrCMBDeBd8hnOCmaR1EqlFUUFytOridzdkWm0tp&#10;Yq1vbwTB7T6+31usOlOJlhpXWlYQjyMQxJnVJecKzqfdaAbCeWSNlWVS8CYHq2W/t8BE2xcfqU19&#10;LkIIuwQVFN7XiZQuK8igG9uaOHB32xj0ATa51A2+Qrip5CSKptJgyaGhwJq2BWWP9GkUlHsbX3ab&#10;9Oiu7XQr19VtYy83pYaDbj0H4anzf/HPfdBhfgz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ZgTo5vAAAANsAAAAPAAAAAAAAAAAAAAAAAJgCAABkcnMvZG93bnJldi54&#10;bWxQSwUGAAAAAAQABAD1AAAAgQMAAAAA&#10;" fillcolor="#84a2c6" stroked="f"/>
                  </v:group>
                  <w10:wrap anchorx="margin" anchory="page"/>
                </v:group>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7464995"/>
      <w:docPartObj>
        <w:docPartGallery w:val="Page Numbers (Margins)"/>
        <w:docPartUnique/>
      </w:docPartObj>
    </w:sdtPr>
    <w:sdtEndPr/>
    <w:sdtContent>
      <w:p w:rsidR="00B524F5" w:rsidRDefault="00B524F5">
        <w:pPr>
          <w:pStyle w:val="Intestazione"/>
        </w:pPr>
        <w:r>
          <w:rPr>
            <w:noProof/>
            <w:lang w:val="it-IT" w:eastAsia="it-IT"/>
          </w:rPr>
          <mc:AlternateContent>
            <mc:Choice Requires="wpg">
              <w:drawing>
                <wp:anchor distT="0" distB="0" distL="114300" distR="114300" simplePos="0" relativeHeight="251659264" behindDoc="0" locked="0" layoutInCell="0" allowOverlap="1">
                  <wp:simplePos x="0" y="0"/>
                  <wp:positionH relativeFrom="rightMargin">
                    <wp:align>center</wp:align>
                  </wp:positionH>
                  <mc:AlternateContent>
                    <mc:Choice Requires="wp14">
                      <wp:positionV relativeFrom="page">
                        <wp14:pctPosVOffset>20000</wp14:pctPosVOffset>
                      </wp:positionV>
                    </mc:Choice>
                    <mc:Fallback>
                      <wp:positionV relativeFrom="page">
                        <wp:posOffset>2138680</wp:posOffset>
                      </wp:positionV>
                    </mc:Fallback>
                  </mc:AlternateContent>
                  <wp:extent cx="488315" cy="237490"/>
                  <wp:effectExtent l="0" t="9525" r="0" b="10160"/>
                  <wp:wrapNone/>
                  <wp:docPr id="2" name="Grup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3"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24F5" w:rsidRDefault="00B524F5">
                                <w:pPr>
                                  <w:pStyle w:val="Intestazione"/>
                                  <w:jc w:val="center"/>
                                </w:pPr>
                                <w:r>
                                  <w:fldChar w:fldCharType="begin"/>
                                </w:r>
                                <w:r>
                                  <w:instrText>PAGE    \* MERGEFORMAT</w:instrText>
                                </w:r>
                                <w:r>
                                  <w:fldChar w:fldCharType="separate"/>
                                </w:r>
                                <w:r w:rsidR="00EE4905" w:rsidRPr="00EE4905">
                                  <w:rPr>
                                    <w:rStyle w:val="Numeropagina"/>
                                    <w:b/>
                                    <w:bCs/>
                                    <w:noProof/>
                                    <w:color w:val="7F5F00" w:themeColor="accent4" w:themeShade="7F"/>
                                    <w:sz w:val="16"/>
                                    <w:szCs w:val="16"/>
                                  </w:rPr>
                                  <w:t>1</w:t>
                                </w:r>
                                <w:r>
                                  <w:rPr>
                                    <w:rStyle w:val="Numeropagina"/>
                                    <w:b/>
                                    <w:bCs/>
                                    <w:color w:val="7F5F00" w:themeColor="accent4" w:themeShade="7F"/>
                                    <w:sz w:val="16"/>
                                    <w:szCs w:val="16"/>
                                  </w:rPr>
                                  <w:fldChar w:fldCharType="end"/>
                                </w:r>
                              </w:p>
                            </w:txbxContent>
                          </wps:txbx>
                          <wps:bodyPr rot="0" vert="horz" wrap="square" lIns="0" tIns="0" rIns="0" bIns="0" anchor="ctr" anchorCtr="0" upright="1">
                            <a:noAutofit/>
                          </wps:bodyPr>
                        </wps:wsp>
                        <wpg:grpSp>
                          <wpg:cNvPr id="4" name="Group 72"/>
                          <wpg:cNvGrpSpPr>
                            <a:grpSpLocks/>
                          </wpg:cNvGrpSpPr>
                          <wpg:grpSpPr bwMode="auto">
                            <a:xfrm>
                              <a:off x="886" y="3255"/>
                              <a:ext cx="374" cy="374"/>
                              <a:chOff x="1453" y="14832"/>
                              <a:chExt cx="374" cy="374"/>
                            </a:xfrm>
                          </wpg:grpSpPr>
                          <wps:wsp>
                            <wps:cNvPr id="5"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uppo 2" o:spid="_x0000_s1031" style="position:absolute;margin-left:0;margin-top:0;width:38.45pt;height:18.7pt;z-index:25165926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" o:allowincell="f">
                  <v:shapetype id="_x0000_t202" coordsize="21600,21600" o:spt="202" path="m,l,21600r21600,l21600,xe">
                    <v:stroke joinstyle="miter"/>
                    <v:path gradientshapeok="t" o:connecttype="rect"/>
                  </v:shapetype>
                  <v:shape id="Text Box 71" o:spid="_x0000_s1032"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rsidR="00B524F5" w:rsidRDefault="00B524F5">
                          <w:pPr>
                            <w:pStyle w:val="Intestazione"/>
                            <w:jc w:val="center"/>
                          </w:pPr>
                          <w:r>
                            <w:fldChar w:fldCharType="begin"/>
                          </w:r>
                          <w:r>
                            <w:instrText>PAGE    \* MERGEFORMAT</w:instrText>
                          </w:r>
                          <w:r>
                            <w:fldChar w:fldCharType="separate"/>
                          </w:r>
                          <w:r w:rsidR="00EE4905" w:rsidRPr="00EE4905">
                            <w:rPr>
                              <w:rStyle w:val="Numeropagina"/>
                              <w:b/>
                              <w:bCs/>
                              <w:noProof/>
                              <w:color w:val="7F5F00" w:themeColor="accent4" w:themeShade="7F"/>
                              <w:sz w:val="16"/>
                              <w:szCs w:val="16"/>
                            </w:rPr>
                            <w:t>1</w:t>
                          </w:r>
                          <w:r>
                            <w:rPr>
                              <w:rStyle w:val="Numeropagina"/>
                              <w:b/>
                              <w:bCs/>
                              <w:color w:val="7F5F00" w:themeColor="accent4" w:themeShade="7F"/>
                              <w:sz w:val="16"/>
                              <w:szCs w:val="16"/>
                            </w:rPr>
                            <w:fldChar w:fldCharType="end"/>
                          </w:r>
                        </w:p>
                      </w:txbxContent>
                    </v:textbox>
                  </v:shape>
                  <v:group id="Group 72" o:spid="_x0000_s1033"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oval id="Oval 73" o:spid="_x0000_s1034"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aob0A&#10;AADaAAAADwAAAGRycy9kb3ducmV2LnhtbERPTYvCMBC9C/6HMIIX0XQFV6mNIguCFw+6HjwOzdgU&#10;m0lJYq3/3ggLe3y872Lb20Z05EPtWMHXLANBXDpdc6Xg8rufrkCEiKyxcUwKXhRguxkOCsy1e/KJ&#10;unOsRArhkKMCE2ObSxlKQxbDzLXEibs5bzEm6CupPT5TuG3kPMu+pcWaU4PBln4Mlffzw6YZ1+DC&#10;9VA+cHmZm8mq99XRL5Uaj/rdGkSkPv6L/9wHrWABnyvJD3Lz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CAaob0AAADaAAAADwAAAAAAAAAAAAAAAACYAgAAZHJzL2Rvd25yZXYu&#10;eG1sUEsFBgAAAAAEAAQA9QAAAIIDAAAAAA==&#10;" filled="f" strokecolor="#84a2c6" strokeweight=".5pt"/>
                    <v:oval id="Oval 74" o:spid="_x0000_s1035"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Iv74A&#10;AADaAAAADwAAAGRycy9kb3ducmV2LnhtbESPwQrCMBBE74L/EFbwpqkeilSjqKB4terB29qsbbHZ&#10;lCbW+vdGEDwOM/OGWaw6U4mWGldaVjAZRyCIM6tLzhWcT7vRDITzyBory6TgTQ5Wy35vgYm2Lz5S&#10;m/pcBAi7BBUU3teJlC4ryKAb25o4eHfbGPRBNrnUDb4C3FRyGkWxNFhyWCiwpm1B2SN9GgXl3k4u&#10;u016dNc23sp1ddvYy02p4aBbz0F46vw//GsftIIY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fSL++AAAA2gAAAA8AAAAAAAAAAAAAAAAAmAIAAGRycy9kb3ducmV2&#10;LnhtbFBLBQYAAAAABAAEAPUAAACDAwAAAAA=&#10;" fillcolor="#84a2c6" stroked="f"/>
                  </v:group>
                  <w10:wrap anchorx="margin" anchory="page"/>
                </v:group>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163F6"/>
    <w:multiLevelType w:val="hybridMultilevel"/>
    <w:tmpl w:val="360AA9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BF82EEE"/>
    <w:multiLevelType w:val="hybridMultilevel"/>
    <w:tmpl w:val="35C400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D741D60"/>
    <w:multiLevelType w:val="hybridMultilevel"/>
    <w:tmpl w:val="497699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E53114E"/>
    <w:multiLevelType w:val="multilevel"/>
    <w:tmpl w:val="4704E692"/>
    <w:lvl w:ilvl="0">
      <w:start w:val="1"/>
      <w:numFmt w:val="decimal"/>
      <w:pStyle w:val="Articolo"/>
      <w:lvlText w:val="%1."/>
      <w:lvlJc w:val="left"/>
      <w:pPr>
        <w:ind w:left="575" w:hanging="360"/>
      </w:pPr>
      <w:rPr>
        <w:rFonts w:ascii="Cambria" w:hAnsi="Cambria" w:hint="default"/>
        <w:b w:val="0"/>
        <w:caps w:val="0"/>
        <w:strike w:val="0"/>
        <w:dstrike w:val="0"/>
        <w:vanish w:val="0"/>
        <w:color w:val="000000"/>
        <w:spacing w:val="0"/>
        <w:w w:val="84"/>
        <w:kern w:val="0"/>
        <w:position w:val="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8BE226B"/>
    <w:multiLevelType w:val="hybridMultilevel"/>
    <w:tmpl w:val="5066F2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6D10582"/>
    <w:multiLevelType w:val="hybridMultilevel"/>
    <w:tmpl w:val="EAC077F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C8D052F"/>
    <w:multiLevelType w:val="hybridMultilevel"/>
    <w:tmpl w:val="3DA427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2746839"/>
    <w:multiLevelType w:val="multilevel"/>
    <w:tmpl w:val="515EE8E8"/>
    <w:lvl w:ilvl="0">
      <w:start w:val="1"/>
      <w:numFmt w:val="lowerLetter"/>
      <w:pStyle w:val="Titolo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4BA3436"/>
    <w:multiLevelType w:val="hybridMultilevel"/>
    <w:tmpl w:val="F3D6F844"/>
    <w:lvl w:ilvl="0" w:tplc="F070A9A2">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73235FF9"/>
    <w:multiLevelType w:val="hybridMultilevel"/>
    <w:tmpl w:val="38B6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0"/>
  </w:num>
  <w:num w:numId="5">
    <w:abstractNumId w:val="5"/>
  </w:num>
  <w:num w:numId="6">
    <w:abstractNumId w:val="1"/>
  </w:num>
  <w:num w:numId="7">
    <w:abstractNumId w:val="2"/>
  </w:num>
  <w:num w:numId="8">
    <w:abstractNumId w:val="4"/>
  </w:num>
  <w:num w:numId="9">
    <w:abstractNumId w:val="8"/>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1CA"/>
    <w:rsid w:val="00064575"/>
    <w:rsid w:val="000744BB"/>
    <w:rsid w:val="000B6E15"/>
    <w:rsid w:val="000B707D"/>
    <w:rsid w:val="001D088C"/>
    <w:rsid w:val="001E1933"/>
    <w:rsid w:val="001E5DDD"/>
    <w:rsid w:val="002214AB"/>
    <w:rsid w:val="0023121E"/>
    <w:rsid w:val="00253535"/>
    <w:rsid w:val="00264BEB"/>
    <w:rsid w:val="00317645"/>
    <w:rsid w:val="003634AA"/>
    <w:rsid w:val="003A41DC"/>
    <w:rsid w:val="003F523D"/>
    <w:rsid w:val="0040305E"/>
    <w:rsid w:val="004B63CB"/>
    <w:rsid w:val="00536CB2"/>
    <w:rsid w:val="00582444"/>
    <w:rsid w:val="00603374"/>
    <w:rsid w:val="006735CA"/>
    <w:rsid w:val="00683120"/>
    <w:rsid w:val="006C00D3"/>
    <w:rsid w:val="00746172"/>
    <w:rsid w:val="007D01CA"/>
    <w:rsid w:val="007D3CDC"/>
    <w:rsid w:val="00813D77"/>
    <w:rsid w:val="00822E62"/>
    <w:rsid w:val="008456A2"/>
    <w:rsid w:val="00875973"/>
    <w:rsid w:val="008B1543"/>
    <w:rsid w:val="008C368C"/>
    <w:rsid w:val="00910810"/>
    <w:rsid w:val="00924AA0"/>
    <w:rsid w:val="00935EB6"/>
    <w:rsid w:val="00946F98"/>
    <w:rsid w:val="009A1810"/>
    <w:rsid w:val="009E1D7B"/>
    <w:rsid w:val="00A47124"/>
    <w:rsid w:val="00A91C08"/>
    <w:rsid w:val="00A91F1D"/>
    <w:rsid w:val="00AD2A2B"/>
    <w:rsid w:val="00AF693A"/>
    <w:rsid w:val="00B25855"/>
    <w:rsid w:val="00B524F5"/>
    <w:rsid w:val="00B841FF"/>
    <w:rsid w:val="00B90F17"/>
    <w:rsid w:val="00BA345B"/>
    <w:rsid w:val="00C04ED0"/>
    <w:rsid w:val="00CA2381"/>
    <w:rsid w:val="00CC0546"/>
    <w:rsid w:val="00D3329C"/>
    <w:rsid w:val="00D7346C"/>
    <w:rsid w:val="00D77BFF"/>
    <w:rsid w:val="00DB4945"/>
    <w:rsid w:val="00DD23D0"/>
    <w:rsid w:val="00DF2E5E"/>
    <w:rsid w:val="00E47179"/>
    <w:rsid w:val="00EC2F67"/>
    <w:rsid w:val="00EE4905"/>
    <w:rsid w:val="00F225C6"/>
    <w:rsid w:val="00F638FD"/>
    <w:rsid w:val="00F877B7"/>
    <w:rsid w:val="00F91B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ED5D4F-3A90-4514-81A1-CF100CCB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F225C6"/>
  </w:style>
  <w:style w:type="paragraph" w:styleId="Titolo1">
    <w:name w:val="heading 1"/>
    <w:basedOn w:val="Normale"/>
    <w:next w:val="Normale"/>
    <w:link w:val="Titolo1Carattere"/>
    <w:autoRedefine/>
    <w:uiPriority w:val="9"/>
    <w:qFormat/>
    <w:rsid w:val="001E1933"/>
    <w:pPr>
      <w:keepNext/>
      <w:keepLines/>
      <w:numPr>
        <w:numId w:val="9"/>
      </w:numPr>
      <w:spacing w:before="240" w:after="240"/>
      <w:ind w:left="426" w:hanging="357"/>
      <w:jc w:val="both"/>
      <w:outlineLvl w:val="0"/>
    </w:pPr>
    <w:rPr>
      <w:rFonts w:ascii="Cambria" w:eastAsia="Times New Roman" w:hAnsi="Cambria" w:cstheme="majorBidi"/>
      <w:caps/>
      <w:color w:val="C00000"/>
      <w:w w:val="84"/>
      <w:sz w:val="40"/>
      <w:szCs w:val="40"/>
      <w:lang w:val="it-IT"/>
    </w:rPr>
  </w:style>
  <w:style w:type="paragraph" w:styleId="Titolo2">
    <w:name w:val="heading 2"/>
    <w:basedOn w:val="Normale"/>
    <w:next w:val="Normale"/>
    <w:link w:val="Titolo2Carattere"/>
    <w:autoRedefine/>
    <w:uiPriority w:val="9"/>
    <w:unhideWhenUsed/>
    <w:qFormat/>
    <w:rsid w:val="008C368C"/>
    <w:pPr>
      <w:keepNext/>
      <w:keepLines/>
      <w:numPr>
        <w:numId w:val="10"/>
      </w:numPr>
      <w:spacing w:line="360" w:lineRule="auto"/>
      <w:outlineLvl w:val="1"/>
    </w:pPr>
    <w:rPr>
      <w:rFonts w:ascii="Cambria" w:eastAsia="Times New Roman" w:hAnsi="Cambria" w:cstheme="majorBidi"/>
      <w:b/>
      <w:bCs/>
      <w:iCs/>
      <w:color w:val="CC3300"/>
      <w:w w:val="84"/>
      <w:sz w:val="24"/>
      <w:szCs w:val="24"/>
      <w:lang w:val="it-IT"/>
    </w:rPr>
  </w:style>
  <w:style w:type="paragraph" w:styleId="Titolo3">
    <w:name w:val="heading 3"/>
    <w:basedOn w:val="Normale"/>
    <w:next w:val="Normale"/>
    <w:link w:val="Titolo3Carattere"/>
    <w:uiPriority w:val="9"/>
    <w:unhideWhenUsed/>
    <w:qFormat/>
    <w:rsid w:val="00746172"/>
    <w:pPr>
      <w:keepNext/>
      <w:spacing w:before="240" w:after="60" w:line="276" w:lineRule="auto"/>
      <w:outlineLvl w:val="2"/>
    </w:pPr>
    <w:rPr>
      <w:rFonts w:ascii="Cambria" w:eastAsia="Times New Roman" w:hAnsi="Cambria"/>
      <w:b/>
      <w:bCs/>
      <w:sz w:val="26"/>
      <w:szCs w:val="26"/>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E1933"/>
    <w:rPr>
      <w:rFonts w:ascii="Cambria" w:eastAsia="Times New Roman" w:hAnsi="Cambria" w:cstheme="majorBidi"/>
      <w:caps/>
      <w:color w:val="C00000"/>
      <w:w w:val="84"/>
      <w:sz w:val="40"/>
      <w:szCs w:val="40"/>
      <w:lang w:val="it-IT"/>
    </w:rPr>
  </w:style>
  <w:style w:type="character" w:customStyle="1" w:styleId="Titolo2Carattere">
    <w:name w:val="Titolo 2 Carattere"/>
    <w:basedOn w:val="Carpredefinitoparagrafo"/>
    <w:link w:val="Titolo2"/>
    <w:uiPriority w:val="9"/>
    <w:rsid w:val="008C368C"/>
    <w:rPr>
      <w:rFonts w:ascii="Cambria" w:eastAsia="Times New Roman" w:hAnsi="Cambria" w:cstheme="majorBidi"/>
      <w:b/>
      <w:bCs/>
      <w:iCs/>
      <w:color w:val="CC3300"/>
      <w:w w:val="84"/>
      <w:sz w:val="24"/>
      <w:szCs w:val="24"/>
      <w:lang w:val="it-IT"/>
    </w:rPr>
  </w:style>
  <w:style w:type="character" w:customStyle="1" w:styleId="Titolo3Carattere">
    <w:name w:val="Titolo 3 Carattere"/>
    <w:basedOn w:val="Carpredefinitoparagrafo"/>
    <w:link w:val="Titolo3"/>
    <w:uiPriority w:val="9"/>
    <w:rsid w:val="00746172"/>
    <w:rPr>
      <w:rFonts w:ascii="Cambria" w:eastAsia="Times New Roman" w:hAnsi="Cambria"/>
      <w:b/>
      <w:bCs/>
      <w:sz w:val="26"/>
      <w:szCs w:val="26"/>
      <w:lang w:val="it-IT"/>
    </w:rPr>
  </w:style>
  <w:style w:type="paragraph" w:customStyle="1" w:styleId="Articolo">
    <w:name w:val="Articolo"/>
    <w:basedOn w:val="Normale"/>
    <w:link w:val="ArticoloCarattere"/>
    <w:autoRedefine/>
    <w:qFormat/>
    <w:rsid w:val="00935EB6"/>
    <w:pPr>
      <w:numPr>
        <w:numId w:val="1"/>
      </w:numPr>
      <w:jc w:val="both"/>
      <w:textAlignment w:val="baseline"/>
    </w:pPr>
    <w:rPr>
      <w:rFonts w:ascii="Cambria" w:eastAsia="Times New Roman" w:hAnsi="Cambria"/>
      <w:color w:val="000000"/>
      <w:w w:val="84"/>
      <w:lang w:val="it-IT"/>
    </w:rPr>
  </w:style>
  <w:style w:type="character" w:customStyle="1" w:styleId="ArticoloCarattere">
    <w:name w:val="Articolo Carattere"/>
    <w:basedOn w:val="Carpredefinitoparagrafo"/>
    <w:link w:val="Articolo"/>
    <w:rsid w:val="00935EB6"/>
    <w:rPr>
      <w:rFonts w:ascii="Cambria" w:eastAsia="Times New Roman" w:hAnsi="Cambria"/>
      <w:color w:val="000000"/>
      <w:w w:val="84"/>
      <w:lang w:val="it-IT"/>
    </w:rPr>
  </w:style>
  <w:style w:type="paragraph" w:styleId="Testofumetto">
    <w:name w:val="Balloon Text"/>
    <w:basedOn w:val="Normale"/>
    <w:link w:val="TestofumettoCarattere"/>
    <w:uiPriority w:val="99"/>
    <w:semiHidden/>
    <w:unhideWhenUsed/>
    <w:rsid w:val="00F877B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877B7"/>
    <w:rPr>
      <w:rFonts w:ascii="Tahoma" w:hAnsi="Tahoma" w:cs="Tahoma"/>
      <w:sz w:val="16"/>
      <w:szCs w:val="16"/>
    </w:rPr>
  </w:style>
  <w:style w:type="paragraph" w:styleId="Nessunaspaziatura">
    <w:name w:val="No Spacing"/>
    <w:uiPriority w:val="1"/>
    <w:qFormat/>
    <w:rsid w:val="00946F98"/>
  </w:style>
  <w:style w:type="paragraph" w:styleId="Intestazione">
    <w:name w:val="header"/>
    <w:basedOn w:val="Normale"/>
    <w:link w:val="IntestazioneCarattere"/>
    <w:uiPriority w:val="99"/>
    <w:unhideWhenUsed/>
    <w:rsid w:val="00946F98"/>
    <w:pPr>
      <w:tabs>
        <w:tab w:val="center" w:pos="4819"/>
        <w:tab w:val="right" w:pos="9638"/>
      </w:tabs>
    </w:pPr>
  </w:style>
  <w:style w:type="character" w:customStyle="1" w:styleId="IntestazioneCarattere">
    <w:name w:val="Intestazione Carattere"/>
    <w:basedOn w:val="Carpredefinitoparagrafo"/>
    <w:link w:val="Intestazione"/>
    <w:uiPriority w:val="99"/>
    <w:rsid w:val="00946F98"/>
  </w:style>
  <w:style w:type="paragraph" w:styleId="Pidipagina">
    <w:name w:val="footer"/>
    <w:basedOn w:val="Normale"/>
    <w:link w:val="PidipaginaCarattere"/>
    <w:uiPriority w:val="99"/>
    <w:unhideWhenUsed/>
    <w:rsid w:val="00946F98"/>
    <w:pPr>
      <w:tabs>
        <w:tab w:val="center" w:pos="4819"/>
        <w:tab w:val="right" w:pos="9638"/>
      </w:tabs>
    </w:pPr>
  </w:style>
  <w:style w:type="character" w:customStyle="1" w:styleId="PidipaginaCarattere">
    <w:name w:val="Piè di pagina Carattere"/>
    <w:basedOn w:val="Carpredefinitoparagrafo"/>
    <w:link w:val="Pidipagina"/>
    <w:uiPriority w:val="99"/>
    <w:rsid w:val="00946F98"/>
  </w:style>
  <w:style w:type="character" w:styleId="Numeropagina">
    <w:name w:val="page number"/>
    <w:basedOn w:val="Carpredefinitoparagrafo"/>
    <w:uiPriority w:val="99"/>
    <w:unhideWhenUsed/>
    <w:rsid w:val="00946F98"/>
    <w:rPr>
      <w:rFonts w:eastAsiaTheme="minorEastAsia" w:cstheme="minorBidi"/>
      <w:bCs w:val="0"/>
      <w:iCs w:val="0"/>
      <w:szCs w:val="22"/>
      <w:lang w:val="it-IT"/>
    </w:rPr>
  </w:style>
  <w:style w:type="paragraph" w:styleId="Titolosommario">
    <w:name w:val="TOC Heading"/>
    <w:basedOn w:val="Titolo1"/>
    <w:next w:val="Normale"/>
    <w:uiPriority w:val="39"/>
    <w:semiHidden/>
    <w:unhideWhenUsed/>
    <w:qFormat/>
    <w:rsid w:val="00946F98"/>
    <w:pPr>
      <w:spacing w:before="480" w:line="276" w:lineRule="auto"/>
      <w:jc w:val="left"/>
      <w:outlineLvl w:val="9"/>
    </w:pPr>
    <w:rPr>
      <w:rFonts w:asciiTheme="majorHAnsi" w:eastAsiaTheme="majorEastAsia" w:hAnsiTheme="majorHAnsi"/>
      <w:bCs/>
      <w:caps w:val="0"/>
      <w:color w:val="2E74B5" w:themeColor="accent1" w:themeShade="BF"/>
      <w:w w:val="100"/>
    </w:rPr>
  </w:style>
  <w:style w:type="paragraph" w:styleId="Sommario1">
    <w:name w:val="toc 1"/>
    <w:basedOn w:val="Normale"/>
    <w:next w:val="Normale"/>
    <w:autoRedefine/>
    <w:uiPriority w:val="39"/>
    <w:unhideWhenUsed/>
    <w:rsid w:val="00946F98"/>
    <w:pPr>
      <w:spacing w:after="100"/>
    </w:pPr>
  </w:style>
  <w:style w:type="paragraph" w:styleId="Sommario2">
    <w:name w:val="toc 2"/>
    <w:basedOn w:val="Normale"/>
    <w:next w:val="Normale"/>
    <w:autoRedefine/>
    <w:uiPriority w:val="39"/>
    <w:unhideWhenUsed/>
    <w:rsid w:val="00946F98"/>
    <w:pPr>
      <w:spacing w:after="100"/>
      <w:ind w:left="220"/>
    </w:pPr>
  </w:style>
  <w:style w:type="character" w:styleId="Collegamentoipertestuale">
    <w:name w:val="Hyperlink"/>
    <w:basedOn w:val="Carpredefinitoparagrafo"/>
    <w:uiPriority w:val="99"/>
    <w:unhideWhenUsed/>
    <w:rsid w:val="00946F98"/>
    <w:rPr>
      <w:color w:val="0563C1" w:themeColor="hyperlink"/>
      <w:u w:val="single"/>
    </w:rPr>
  </w:style>
  <w:style w:type="paragraph" w:styleId="Sommario3">
    <w:name w:val="toc 3"/>
    <w:basedOn w:val="Normale"/>
    <w:next w:val="Normale"/>
    <w:autoRedefine/>
    <w:uiPriority w:val="39"/>
    <w:semiHidden/>
    <w:unhideWhenUsed/>
    <w:rsid w:val="00746172"/>
    <w:pPr>
      <w:spacing w:after="100"/>
      <w:ind w:left="440"/>
    </w:pPr>
  </w:style>
  <w:style w:type="paragraph" w:customStyle="1" w:styleId="Testo">
    <w:name w:val="Testo"/>
    <w:basedOn w:val="Normale"/>
    <w:link w:val="TestoCarattere"/>
    <w:qFormat/>
    <w:rsid w:val="00746172"/>
    <w:pPr>
      <w:spacing w:after="120" w:line="276" w:lineRule="auto"/>
      <w:jc w:val="both"/>
    </w:pPr>
    <w:rPr>
      <w:rFonts w:ascii="Cambria" w:hAnsi="Cambria"/>
      <w:w w:val="84"/>
      <w:lang w:val="it-IT"/>
    </w:rPr>
  </w:style>
  <w:style w:type="character" w:customStyle="1" w:styleId="TestoCarattere">
    <w:name w:val="Testo Carattere"/>
    <w:basedOn w:val="Carpredefinitoparagrafo"/>
    <w:link w:val="Testo"/>
    <w:rsid w:val="00746172"/>
    <w:rPr>
      <w:rFonts w:ascii="Cambria" w:hAnsi="Cambria"/>
      <w:w w:val="84"/>
      <w:lang w:val="it-IT"/>
    </w:rPr>
  </w:style>
  <w:style w:type="table" w:styleId="Grigliatabella">
    <w:name w:val="Table Grid"/>
    <w:basedOn w:val="Tabellanormale"/>
    <w:uiPriority w:val="39"/>
    <w:rsid w:val="00D77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ile1">
    <w:name w:val="Stile1"/>
    <w:basedOn w:val="TabellaWeb2"/>
    <w:uiPriority w:val="99"/>
    <w:rsid w:val="00D77B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uiPriority w:val="99"/>
    <w:semiHidden/>
    <w:unhideWhenUsed/>
    <w:rsid w:val="00D77B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idascalia">
    <w:name w:val="caption"/>
    <w:basedOn w:val="Normale"/>
    <w:next w:val="Normale"/>
    <w:uiPriority w:val="35"/>
    <w:unhideWhenUsed/>
    <w:qFormat/>
    <w:rsid w:val="00317645"/>
    <w:pPr>
      <w:spacing w:after="200"/>
    </w:pPr>
    <w:rPr>
      <w:rFonts w:asciiTheme="minorHAnsi" w:eastAsiaTheme="minorHAnsi" w:hAnsiTheme="minorHAnsi" w:cstheme="minorBidi"/>
      <w:i/>
      <w:iCs/>
      <w:color w:val="44546A" w:themeColor="text2"/>
      <w:sz w:val="18"/>
      <w:szCs w:val="18"/>
      <w:lang w:val="it-IT"/>
    </w:rPr>
  </w:style>
  <w:style w:type="table" w:customStyle="1" w:styleId="Stile11">
    <w:name w:val="Stile11"/>
    <w:basedOn w:val="TabellaWeb2"/>
    <w:uiPriority w:val="99"/>
    <w:rsid w:val="00264BEB"/>
    <w:rPr>
      <w:rFonts w:asciiTheme="minorHAnsi" w:eastAsiaTheme="minorHAnsi" w:hAnsiTheme="minorHAnsi" w:cstheme="minorBidi"/>
      <w:lang w:val="it-IT"/>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218013">
      <w:bodyDiv w:val="1"/>
      <w:marLeft w:val="0"/>
      <w:marRight w:val="0"/>
      <w:marTop w:val="0"/>
      <w:marBottom w:val="0"/>
      <w:divBdr>
        <w:top w:val="none" w:sz="0" w:space="0" w:color="auto"/>
        <w:left w:val="none" w:sz="0" w:space="0" w:color="auto"/>
        <w:bottom w:val="none" w:sz="0" w:space="0" w:color="auto"/>
        <w:right w:val="none" w:sz="0" w:space="0" w:color="auto"/>
      </w:divBdr>
    </w:div>
    <w:div w:id="999968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D4561-FBFE-463F-A312-B7439807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10447</Words>
  <Characters>59552</Characters>
  <Application>Microsoft Office Word</Application>
  <DocSecurity>0</DocSecurity>
  <Lines>496</Lines>
  <Paragraphs>139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Ezio Guerci</dc:creator>
  <cp:lastModifiedBy>Melania Monaco</cp:lastModifiedBy>
  <cp:revision>5</cp:revision>
  <dcterms:created xsi:type="dcterms:W3CDTF">2014-01-23T10:05:00Z</dcterms:created>
  <dcterms:modified xsi:type="dcterms:W3CDTF">2014-01-24T10:28:00Z</dcterms:modified>
</cp:coreProperties>
</file>